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766A" w14:textId="7E712240" w:rsidR="00C50112" w:rsidRPr="008C062C" w:rsidRDefault="008C062C" w:rsidP="00C50112">
      <w:pPr>
        <w:snapToGrid w:val="0"/>
        <w:spacing w:line="360" w:lineRule="auto"/>
        <w:ind w:right="0"/>
        <w:contextualSpacing/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bookmarkStart w:id="0" w:name="OLE_LINK2"/>
      <w:r w:rsidRPr="008C062C">
        <w:rPr>
          <w:rFonts w:ascii="仿宋" w:eastAsia="仿宋" w:hAnsi="仿宋" w:hint="eastAsia"/>
          <w:b/>
          <w:bCs/>
          <w:sz w:val="32"/>
          <w:szCs w:val="32"/>
        </w:rPr>
        <w:t>2025年</w:t>
      </w:r>
      <w:r w:rsidR="000E6AEB" w:rsidRPr="008C062C">
        <w:rPr>
          <w:rFonts w:ascii="仿宋" w:eastAsia="仿宋" w:hAnsi="仿宋" w:hint="eastAsia"/>
          <w:b/>
          <w:bCs/>
          <w:sz w:val="32"/>
          <w:szCs w:val="32"/>
        </w:rPr>
        <w:t>浙江天平会计师事务所（特殊普通合伙</w:t>
      </w:r>
      <w:bookmarkEnd w:id="0"/>
      <w:r w:rsidR="000E6AEB" w:rsidRPr="008C062C">
        <w:rPr>
          <w:rFonts w:ascii="仿宋" w:eastAsia="仿宋" w:hAnsi="仿宋" w:hint="eastAsia"/>
          <w:b/>
          <w:bCs/>
          <w:sz w:val="32"/>
          <w:szCs w:val="32"/>
        </w:rPr>
        <w:t>）</w:t>
      </w:r>
    </w:p>
    <w:p w14:paraId="3443FB3E" w14:textId="789A776B" w:rsidR="00B42A88" w:rsidRPr="008C062C" w:rsidRDefault="000E6AEB" w:rsidP="00C50112">
      <w:pPr>
        <w:snapToGrid w:val="0"/>
        <w:spacing w:line="360" w:lineRule="auto"/>
        <w:ind w:right="0"/>
        <w:contextualSpacing/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 w:rsidRPr="008C062C">
        <w:rPr>
          <w:rFonts w:ascii="仿宋" w:eastAsia="仿宋" w:hAnsi="仿宋" w:hint="eastAsia"/>
          <w:b/>
          <w:bCs/>
          <w:sz w:val="32"/>
          <w:szCs w:val="32"/>
        </w:rPr>
        <w:t>证券业务相关信息</w:t>
      </w:r>
      <w:r w:rsidR="008C062C" w:rsidRPr="008C062C">
        <w:rPr>
          <w:rFonts w:ascii="仿宋" w:eastAsia="仿宋" w:hAnsi="仿宋" w:hint="eastAsia"/>
          <w:b/>
          <w:bCs/>
          <w:sz w:val="32"/>
          <w:szCs w:val="32"/>
        </w:rPr>
        <w:t>披露</w:t>
      </w:r>
    </w:p>
    <w:p w14:paraId="324D94F9" w14:textId="77777777" w:rsidR="00D027DE" w:rsidRDefault="00D027DE" w:rsidP="00C50112">
      <w:pPr>
        <w:snapToGrid w:val="0"/>
        <w:spacing w:line="360" w:lineRule="auto"/>
        <w:ind w:right="0"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</w:p>
    <w:p w14:paraId="77256701" w14:textId="445CAC5F" w:rsidR="00C50112" w:rsidRDefault="000E6AEB" w:rsidP="00C50112">
      <w:pPr>
        <w:snapToGrid w:val="0"/>
        <w:spacing w:line="360" w:lineRule="auto"/>
        <w:ind w:right="0"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C50112">
        <w:rPr>
          <w:rFonts w:ascii="仿宋" w:eastAsia="仿宋" w:hAnsi="仿宋" w:hint="eastAsia"/>
          <w:sz w:val="28"/>
          <w:szCs w:val="28"/>
        </w:rPr>
        <w:t>浙江天平会计师事务所（特殊普通合伙）成立于19993年3月3日，</w:t>
      </w:r>
      <w:r w:rsidR="00C50112">
        <w:rPr>
          <w:rFonts w:ascii="仿宋" w:eastAsia="仿宋" w:hAnsi="仿宋" w:hint="eastAsia"/>
          <w:sz w:val="28"/>
          <w:szCs w:val="28"/>
        </w:rPr>
        <w:t>2016年改制为特殊普通合伙会计师事务所，2020年通过财政部和证监委的证券业务备案，事务所</w:t>
      </w:r>
      <w:r w:rsidRPr="00C50112">
        <w:rPr>
          <w:rFonts w:ascii="仿宋" w:eastAsia="仿宋" w:hAnsi="仿宋" w:hint="eastAsia"/>
          <w:sz w:val="28"/>
          <w:szCs w:val="28"/>
        </w:rPr>
        <w:t>注册地点：杭州市拱墅区湖州街567号北城天地9幢10楼，</w:t>
      </w:r>
      <w:r w:rsidR="00C50112">
        <w:rPr>
          <w:rFonts w:ascii="仿宋" w:eastAsia="仿宋" w:hAnsi="仿宋" w:hint="eastAsia"/>
          <w:sz w:val="28"/>
          <w:szCs w:val="28"/>
        </w:rPr>
        <w:t>执行事务合伙人（</w:t>
      </w:r>
      <w:r w:rsidRPr="00C50112">
        <w:rPr>
          <w:rFonts w:ascii="仿宋" w:eastAsia="仿宋" w:hAnsi="仿宋" w:hint="eastAsia"/>
          <w:sz w:val="28"/>
          <w:szCs w:val="28"/>
        </w:rPr>
        <w:t>首席合伙人</w:t>
      </w:r>
      <w:r w:rsidR="00C50112">
        <w:rPr>
          <w:rFonts w:ascii="仿宋" w:eastAsia="仿宋" w:hAnsi="仿宋" w:hint="eastAsia"/>
          <w:sz w:val="28"/>
          <w:szCs w:val="28"/>
        </w:rPr>
        <w:t>）</w:t>
      </w:r>
      <w:r w:rsidRPr="00C50112">
        <w:rPr>
          <w:rFonts w:ascii="仿宋" w:eastAsia="仿宋" w:hAnsi="仿宋" w:hint="eastAsia"/>
          <w:sz w:val="28"/>
          <w:szCs w:val="28"/>
        </w:rPr>
        <w:t>丁天方。</w:t>
      </w:r>
    </w:p>
    <w:p w14:paraId="00F51B51" w14:textId="77777777" w:rsidR="00D027DE" w:rsidRDefault="000E6AEB" w:rsidP="00C50112">
      <w:pPr>
        <w:snapToGrid w:val="0"/>
        <w:spacing w:line="360" w:lineRule="auto"/>
        <w:ind w:right="0"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C50112">
        <w:rPr>
          <w:rFonts w:ascii="仿宋" w:eastAsia="仿宋" w:hAnsi="仿宋" w:hint="eastAsia"/>
          <w:sz w:val="28"/>
          <w:szCs w:val="28"/>
        </w:rPr>
        <w:t>2024年未合伙人31名，2025年新增合伙人3名，退伙5名，2025年未合伙人29名</w:t>
      </w:r>
      <w:r w:rsidR="00C50112">
        <w:rPr>
          <w:rFonts w:ascii="仿宋" w:eastAsia="仿宋" w:hAnsi="仿宋" w:hint="eastAsia"/>
          <w:sz w:val="28"/>
          <w:szCs w:val="28"/>
        </w:rPr>
        <w:t>，</w:t>
      </w:r>
      <w:r w:rsidRPr="00C50112">
        <w:rPr>
          <w:rFonts w:ascii="仿宋" w:eastAsia="仿宋" w:hAnsi="仿宋" w:hint="eastAsia"/>
          <w:sz w:val="28"/>
          <w:szCs w:val="28"/>
        </w:rPr>
        <w:t>2025年未注册会计师135名</w:t>
      </w:r>
      <w:r w:rsidR="00C50112">
        <w:rPr>
          <w:rFonts w:ascii="仿宋" w:eastAsia="仿宋" w:hAnsi="仿宋" w:hint="eastAsia"/>
          <w:sz w:val="28"/>
          <w:szCs w:val="28"/>
        </w:rPr>
        <w:t>。2025年</w:t>
      </w:r>
      <w:r w:rsidRPr="00C50112">
        <w:rPr>
          <w:rFonts w:ascii="仿宋" w:eastAsia="仿宋" w:hAnsi="仿宋" w:hint="eastAsia"/>
          <w:sz w:val="28"/>
          <w:szCs w:val="28"/>
        </w:rPr>
        <w:t>度</w:t>
      </w:r>
      <w:r w:rsidR="001818B9" w:rsidRPr="00C50112">
        <w:rPr>
          <w:rFonts w:ascii="仿宋" w:eastAsia="仿宋" w:hAnsi="仿宋" w:hint="eastAsia"/>
          <w:sz w:val="28"/>
          <w:szCs w:val="28"/>
        </w:rPr>
        <w:t>签署证券业务</w:t>
      </w:r>
      <w:r w:rsidR="00C50112">
        <w:rPr>
          <w:rFonts w:ascii="仿宋" w:eastAsia="仿宋" w:hAnsi="仿宋" w:hint="eastAsia"/>
          <w:sz w:val="28"/>
          <w:szCs w:val="28"/>
        </w:rPr>
        <w:t>报告</w:t>
      </w:r>
      <w:r w:rsidR="001818B9" w:rsidRPr="00C50112">
        <w:rPr>
          <w:rFonts w:ascii="仿宋" w:eastAsia="仿宋" w:hAnsi="仿宋" w:hint="eastAsia"/>
          <w:sz w:val="28"/>
          <w:szCs w:val="28"/>
        </w:rPr>
        <w:t>的注册会计师共21名，</w:t>
      </w:r>
      <w:r w:rsidR="00C50112">
        <w:rPr>
          <w:rFonts w:ascii="仿宋" w:eastAsia="仿宋" w:hAnsi="仿宋" w:hint="eastAsia"/>
          <w:sz w:val="28"/>
          <w:szCs w:val="28"/>
        </w:rPr>
        <w:t>其中</w:t>
      </w:r>
      <w:r w:rsidR="001818B9" w:rsidRPr="00C50112">
        <w:rPr>
          <w:rFonts w:ascii="仿宋" w:eastAsia="仿宋" w:hAnsi="仿宋" w:hint="eastAsia"/>
          <w:sz w:val="28"/>
          <w:szCs w:val="28"/>
        </w:rPr>
        <w:t>总所签署证券业务</w:t>
      </w:r>
      <w:r w:rsidR="00C50112">
        <w:rPr>
          <w:rFonts w:ascii="仿宋" w:eastAsia="仿宋" w:hAnsi="仿宋" w:hint="eastAsia"/>
          <w:sz w:val="28"/>
          <w:szCs w:val="28"/>
        </w:rPr>
        <w:t>报告</w:t>
      </w:r>
      <w:r w:rsidR="001818B9" w:rsidRPr="00C50112">
        <w:rPr>
          <w:rFonts w:ascii="仿宋" w:eastAsia="仿宋" w:hAnsi="仿宋" w:hint="eastAsia"/>
          <w:sz w:val="28"/>
          <w:szCs w:val="28"/>
        </w:rPr>
        <w:t>的注册会计师10名，分所签署证券业务</w:t>
      </w:r>
      <w:r w:rsidR="00C50112">
        <w:rPr>
          <w:rFonts w:ascii="仿宋" w:eastAsia="仿宋" w:hAnsi="仿宋" w:hint="eastAsia"/>
          <w:sz w:val="28"/>
          <w:szCs w:val="28"/>
        </w:rPr>
        <w:t>报告</w:t>
      </w:r>
      <w:r w:rsidR="001818B9" w:rsidRPr="00C50112">
        <w:rPr>
          <w:rFonts w:ascii="仿宋" w:eastAsia="仿宋" w:hAnsi="仿宋" w:hint="eastAsia"/>
          <w:sz w:val="28"/>
          <w:szCs w:val="28"/>
        </w:rPr>
        <w:t>的注册会计师11名。</w:t>
      </w:r>
      <w:bookmarkStart w:id="1" w:name="OLE_LINK1"/>
      <w:r w:rsidR="00D027DE" w:rsidRPr="00C50112">
        <w:rPr>
          <w:rFonts w:ascii="仿宋" w:eastAsia="仿宋" w:hAnsi="仿宋" w:hint="eastAsia"/>
          <w:sz w:val="28"/>
          <w:szCs w:val="28"/>
        </w:rPr>
        <w:t>2025年新增1个</w:t>
      </w:r>
      <w:bookmarkEnd w:id="1"/>
      <w:r w:rsidR="00D027DE">
        <w:rPr>
          <w:rFonts w:ascii="仿宋" w:eastAsia="仿宋" w:hAnsi="仿宋" w:hint="eastAsia"/>
          <w:sz w:val="28"/>
          <w:szCs w:val="28"/>
        </w:rPr>
        <w:t>、</w:t>
      </w:r>
      <w:r w:rsidR="001818B9" w:rsidRPr="00C50112">
        <w:rPr>
          <w:rFonts w:ascii="仿宋" w:eastAsia="仿宋" w:hAnsi="仿宋" w:hint="eastAsia"/>
          <w:sz w:val="28"/>
          <w:szCs w:val="28"/>
        </w:rPr>
        <w:t>年未</w:t>
      </w:r>
      <w:r w:rsidR="00D027DE">
        <w:rPr>
          <w:rFonts w:ascii="仿宋" w:eastAsia="仿宋" w:hAnsi="仿宋" w:hint="eastAsia"/>
          <w:sz w:val="28"/>
          <w:szCs w:val="28"/>
        </w:rPr>
        <w:t>事务所共有</w:t>
      </w:r>
      <w:r w:rsidR="001818B9" w:rsidRPr="00C50112">
        <w:rPr>
          <w:rFonts w:ascii="仿宋" w:eastAsia="仿宋" w:hAnsi="仿宋" w:hint="eastAsia"/>
          <w:sz w:val="28"/>
          <w:szCs w:val="28"/>
        </w:rPr>
        <w:t>分支机构</w:t>
      </w:r>
      <w:r w:rsidR="00D027DE">
        <w:rPr>
          <w:rFonts w:ascii="仿宋" w:eastAsia="仿宋" w:hAnsi="仿宋" w:hint="eastAsia"/>
          <w:sz w:val="28"/>
          <w:szCs w:val="28"/>
        </w:rPr>
        <w:t>7个</w:t>
      </w:r>
      <w:r w:rsidR="001818B9" w:rsidRPr="00C50112">
        <w:rPr>
          <w:rFonts w:ascii="仿宋" w:eastAsia="仿宋" w:hAnsi="仿宋" w:hint="eastAsia"/>
          <w:sz w:val="28"/>
          <w:szCs w:val="28"/>
        </w:rPr>
        <w:t>。</w:t>
      </w:r>
    </w:p>
    <w:p w14:paraId="446D0110" w14:textId="640A2BBD" w:rsidR="001818B9" w:rsidRPr="00C50112" w:rsidRDefault="001818B9" w:rsidP="00C50112">
      <w:pPr>
        <w:snapToGrid w:val="0"/>
        <w:spacing w:line="360" w:lineRule="auto"/>
        <w:ind w:right="0"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C50112">
        <w:rPr>
          <w:rFonts w:ascii="仿宋" w:eastAsia="仿宋" w:hAnsi="仿宋" w:hint="eastAsia"/>
          <w:sz w:val="28"/>
          <w:szCs w:val="28"/>
        </w:rPr>
        <w:t>2025年全年证券业务收入10,880万元，其中审计业务收入7,670.32万元，</w:t>
      </w:r>
      <w:r w:rsidR="00D027DE">
        <w:rPr>
          <w:rFonts w:ascii="仿宋" w:eastAsia="仿宋" w:hAnsi="仿宋" w:hint="eastAsia"/>
          <w:sz w:val="28"/>
          <w:szCs w:val="28"/>
        </w:rPr>
        <w:t>证券</w:t>
      </w:r>
      <w:r w:rsidRPr="00C50112">
        <w:rPr>
          <w:rFonts w:ascii="仿宋" w:eastAsia="仿宋" w:hAnsi="仿宋" w:hint="eastAsia"/>
          <w:sz w:val="28"/>
          <w:szCs w:val="28"/>
        </w:rPr>
        <w:t>业务收入</w:t>
      </w:r>
      <w:r w:rsidR="00076506" w:rsidRPr="00076506">
        <w:rPr>
          <w:rFonts w:ascii="仿宋" w:eastAsia="仿宋" w:hAnsi="仿宋" w:hint="eastAsia"/>
          <w:sz w:val="28"/>
          <w:szCs w:val="28"/>
        </w:rPr>
        <w:t>1</w:t>
      </w:r>
      <w:r w:rsidR="00F11B21">
        <w:rPr>
          <w:rFonts w:ascii="仿宋" w:eastAsia="仿宋" w:hAnsi="仿宋" w:hint="eastAsia"/>
          <w:sz w:val="28"/>
          <w:szCs w:val="28"/>
        </w:rPr>
        <w:t>329.6</w:t>
      </w:r>
      <w:r w:rsidR="00076506" w:rsidRPr="00076506">
        <w:rPr>
          <w:rFonts w:ascii="仿宋" w:eastAsia="仿宋" w:hAnsi="仿宋" w:hint="eastAsia"/>
          <w:sz w:val="28"/>
          <w:szCs w:val="28"/>
        </w:rPr>
        <w:t>0</w:t>
      </w:r>
      <w:r w:rsidRPr="00C50112">
        <w:rPr>
          <w:rFonts w:ascii="仿宋" w:eastAsia="仿宋" w:hAnsi="仿宋" w:hint="eastAsia"/>
          <w:sz w:val="28"/>
          <w:szCs w:val="28"/>
        </w:rPr>
        <w:t>万元。</w:t>
      </w:r>
      <w:r w:rsidRPr="00C50112">
        <w:rPr>
          <w:rFonts w:ascii="仿宋" w:eastAsia="仿宋" w:hAnsi="仿宋"/>
          <w:sz w:val="28"/>
          <w:szCs w:val="28"/>
        </w:rPr>
        <w:t>截至上年末保险合同有效期内职业保险累计赔偿限额</w:t>
      </w:r>
      <w:r w:rsidRPr="00C50112">
        <w:rPr>
          <w:rFonts w:ascii="仿宋" w:eastAsia="仿宋" w:hAnsi="仿宋" w:hint="eastAsia"/>
          <w:sz w:val="28"/>
          <w:szCs w:val="28"/>
        </w:rPr>
        <w:t>5,000万元，计提的职业风险金</w:t>
      </w:r>
      <w:r w:rsidRPr="00C50112">
        <w:rPr>
          <w:rFonts w:ascii="仿宋" w:eastAsia="仿宋" w:hAnsi="仿宋"/>
          <w:sz w:val="28"/>
          <w:szCs w:val="28"/>
        </w:rPr>
        <w:t>1</w:t>
      </w:r>
      <w:r w:rsidRPr="00C50112">
        <w:rPr>
          <w:rFonts w:ascii="仿宋" w:eastAsia="仿宋" w:hAnsi="仿宋" w:hint="eastAsia"/>
          <w:sz w:val="28"/>
          <w:szCs w:val="28"/>
        </w:rPr>
        <w:t>,</w:t>
      </w:r>
      <w:r w:rsidRPr="00C50112">
        <w:rPr>
          <w:rFonts w:ascii="仿宋" w:eastAsia="仿宋" w:hAnsi="仿宋"/>
          <w:sz w:val="28"/>
          <w:szCs w:val="28"/>
        </w:rPr>
        <w:t>586.54</w:t>
      </w:r>
      <w:r w:rsidRPr="00C50112">
        <w:rPr>
          <w:rFonts w:ascii="仿宋" w:eastAsia="仿宋" w:hAnsi="仿宋" w:hint="eastAsia"/>
          <w:sz w:val="28"/>
          <w:szCs w:val="28"/>
        </w:rPr>
        <w:t>万元。</w:t>
      </w:r>
    </w:p>
    <w:p w14:paraId="2C3293E7" w14:textId="482FA356" w:rsidR="001818B9" w:rsidRPr="00C50112" w:rsidRDefault="001818B9" w:rsidP="00C50112">
      <w:pPr>
        <w:snapToGrid w:val="0"/>
        <w:spacing w:line="360" w:lineRule="auto"/>
        <w:ind w:right="0"/>
        <w:contextualSpacing/>
        <w:rPr>
          <w:rFonts w:ascii="仿宋" w:eastAsia="仿宋" w:hAnsi="仿宋" w:hint="eastAsia"/>
          <w:sz w:val="28"/>
          <w:szCs w:val="28"/>
        </w:rPr>
      </w:pPr>
      <w:r w:rsidRPr="00C50112">
        <w:rPr>
          <w:rFonts w:ascii="仿宋" w:eastAsia="仿宋" w:hAnsi="仿宋" w:hint="eastAsia"/>
          <w:sz w:val="28"/>
          <w:szCs w:val="28"/>
        </w:rPr>
        <w:t>目前本所没有加入国际网络，也没有</w:t>
      </w:r>
      <w:r w:rsidR="00C50112" w:rsidRPr="00C50112">
        <w:rPr>
          <w:rFonts w:ascii="仿宋" w:eastAsia="仿宋" w:hAnsi="仿宋" w:hint="eastAsia"/>
          <w:sz w:val="28"/>
          <w:szCs w:val="28"/>
        </w:rPr>
        <w:t>相关的业务收入。</w:t>
      </w:r>
    </w:p>
    <w:p w14:paraId="10E652BB" w14:textId="5A1EC73E" w:rsidR="00C50112" w:rsidRDefault="00C50112" w:rsidP="00C50112">
      <w:pPr>
        <w:snapToGrid w:val="0"/>
        <w:spacing w:line="360" w:lineRule="auto"/>
        <w:ind w:right="0"/>
        <w:contextualSpacing/>
        <w:rPr>
          <w:rFonts w:ascii="仿宋" w:eastAsia="仿宋" w:hAnsi="仿宋" w:hint="eastAsia"/>
          <w:sz w:val="28"/>
          <w:szCs w:val="28"/>
        </w:rPr>
      </w:pPr>
      <w:r w:rsidRPr="00C50112">
        <w:rPr>
          <w:rFonts w:ascii="仿宋" w:eastAsia="仿宋" w:hAnsi="仿宋" w:hint="eastAsia"/>
          <w:sz w:val="28"/>
          <w:szCs w:val="28"/>
        </w:rPr>
        <w:t>2025年本所没有受到财政部门</w:t>
      </w:r>
      <w:r w:rsidR="00D027DE">
        <w:rPr>
          <w:rFonts w:ascii="仿宋" w:eastAsia="仿宋" w:hAnsi="仿宋" w:hint="eastAsia"/>
          <w:sz w:val="28"/>
          <w:szCs w:val="28"/>
        </w:rPr>
        <w:t>、</w:t>
      </w:r>
      <w:r w:rsidRPr="00C50112">
        <w:rPr>
          <w:rFonts w:ascii="仿宋" w:eastAsia="仿宋" w:hAnsi="仿宋" w:hint="eastAsia"/>
          <w:sz w:val="28"/>
          <w:szCs w:val="28"/>
        </w:rPr>
        <w:t>证券业务监管部门</w:t>
      </w:r>
      <w:r w:rsidR="00D027DE">
        <w:rPr>
          <w:rFonts w:ascii="仿宋" w:eastAsia="仿宋" w:hAnsi="仿宋" w:hint="eastAsia"/>
          <w:sz w:val="28"/>
          <w:szCs w:val="28"/>
        </w:rPr>
        <w:t>和证券交易所警示和</w:t>
      </w:r>
      <w:r w:rsidRPr="00C50112">
        <w:rPr>
          <w:rFonts w:ascii="仿宋" w:eastAsia="仿宋" w:hAnsi="仿宋" w:hint="eastAsia"/>
          <w:sz w:val="28"/>
          <w:szCs w:val="28"/>
        </w:rPr>
        <w:t>处罚。</w:t>
      </w:r>
    </w:p>
    <w:p w14:paraId="40797852" w14:textId="77777777" w:rsidR="00D027DE" w:rsidRDefault="00D027DE" w:rsidP="00C50112">
      <w:pPr>
        <w:snapToGrid w:val="0"/>
        <w:spacing w:line="360" w:lineRule="auto"/>
        <w:ind w:right="0"/>
        <w:contextualSpacing/>
        <w:rPr>
          <w:rFonts w:ascii="仿宋" w:eastAsia="仿宋" w:hAnsi="仿宋" w:hint="eastAsia"/>
          <w:sz w:val="28"/>
          <w:szCs w:val="28"/>
        </w:rPr>
      </w:pPr>
    </w:p>
    <w:p w14:paraId="02AC69F5" w14:textId="77777777" w:rsidR="00D027DE" w:rsidRDefault="00D027DE" w:rsidP="00C50112">
      <w:pPr>
        <w:snapToGrid w:val="0"/>
        <w:spacing w:line="360" w:lineRule="auto"/>
        <w:ind w:right="0"/>
        <w:contextualSpacing/>
        <w:rPr>
          <w:rFonts w:ascii="仿宋" w:eastAsia="仿宋" w:hAnsi="仿宋" w:hint="eastAsia"/>
          <w:sz w:val="28"/>
          <w:szCs w:val="28"/>
        </w:rPr>
      </w:pPr>
    </w:p>
    <w:p w14:paraId="0D615FF6" w14:textId="6DA688DD" w:rsidR="00D027DE" w:rsidRDefault="00D027DE" w:rsidP="00C50112">
      <w:pPr>
        <w:snapToGrid w:val="0"/>
        <w:spacing w:line="360" w:lineRule="auto"/>
        <w:ind w:right="0"/>
        <w:contextualSpacing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</w:t>
      </w:r>
      <w:r w:rsidRPr="00C50112">
        <w:rPr>
          <w:rFonts w:ascii="仿宋" w:eastAsia="仿宋" w:hAnsi="仿宋" w:hint="eastAsia"/>
          <w:sz w:val="28"/>
          <w:szCs w:val="28"/>
        </w:rPr>
        <w:t>浙江天平会计师事务所（特殊普通合伙</w:t>
      </w:r>
      <w:r>
        <w:rPr>
          <w:rFonts w:ascii="仿宋" w:eastAsia="仿宋" w:hAnsi="仿宋"/>
          <w:sz w:val="28"/>
          <w:szCs w:val="28"/>
        </w:rPr>
        <w:t>）</w:t>
      </w:r>
    </w:p>
    <w:p w14:paraId="54AB64AC" w14:textId="2EC7C6F8" w:rsidR="00D027DE" w:rsidRDefault="00D027DE" w:rsidP="00C50112">
      <w:pPr>
        <w:snapToGrid w:val="0"/>
        <w:spacing w:line="360" w:lineRule="auto"/>
        <w:ind w:right="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2026年7月20日</w:t>
      </w:r>
    </w:p>
    <w:p w14:paraId="594F84EC" w14:textId="77777777" w:rsidR="00347453" w:rsidRDefault="00347453" w:rsidP="00C50112">
      <w:pPr>
        <w:snapToGrid w:val="0"/>
        <w:spacing w:line="360" w:lineRule="auto"/>
        <w:ind w:right="0"/>
        <w:contextualSpacing/>
        <w:rPr>
          <w:rFonts w:ascii="仿宋" w:eastAsia="仿宋" w:hAnsi="仿宋"/>
          <w:sz w:val="28"/>
          <w:szCs w:val="28"/>
        </w:rPr>
      </w:pPr>
    </w:p>
    <w:p w14:paraId="064484A0" w14:textId="02357ED6" w:rsidR="00347453" w:rsidRDefault="00347453" w:rsidP="00C50112">
      <w:pPr>
        <w:snapToGrid w:val="0"/>
        <w:spacing w:line="360" w:lineRule="auto"/>
        <w:ind w:right="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附表</w:t>
      </w:r>
    </w:p>
    <w:p w14:paraId="7981C37D" w14:textId="77777777" w:rsidR="00347453" w:rsidRDefault="00347453" w:rsidP="00C50112">
      <w:pPr>
        <w:snapToGrid w:val="0"/>
        <w:spacing w:line="360" w:lineRule="auto"/>
        <w:ind w:right="0"/>
        <w:contextualSpacing/>
        <w:rPr>
          <w:rFonts w:ascii="仿宋" w:eastAsia="仿宋" w:hAnsi="仿宋" w:hint="eastAsia"/>
          <w:sz w:val="28"/>
          <w:szCs w:val="28"/>
        </w:rPr>
      </w:pPr>
    </w:p>
    <w:p w14:paraId="09C00221" w14:textId="154F7A4C" w:rsidR="00347453" w:rsidRDefault="00347453" w:rsidP="00C50112">
      <w:pPr>
        <w:snapToGrid w:val="0"/>
        <w:spacing w:line="360" w:lineRule="auto"/>
        <w:ind w:right="0"/>
        <w:contextualSpacing/>
        <w:rPr>
          <w:rFonts w:ascii="仿宋" w:eastAsia="仿宋" w:hAnsi="仿宋"/>
          <w:sz w:val="28"/>
          <w:szCs w:val="28"/>
        </w:rPr>
      </w:pPr>
      <w:r w:rsidRPr="00347453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3BBB9D04" wp14:editId="1C67516F">
            <wp:extent cx="5866765" cy="8110538"/>
            <wp:effectExtent l="0" t="0" r="635" b="5080"/>
            <wp:docPr id="400953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01" cy="8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864A" w14:textId="00D0675A" w:rsidR="00347453" w:rsidRDefault="00347453" w:rsidP="00C50112">
      <w:pPr>
        <w:snapToGrid w:val="0"/>
        <w:spacing w:line="360" w:lineRule="auto"/>
        <w:ind w:right="0"/>
        <w:contextualSpacing/>
        <w:rPr>
          <w:rFonts w:ascii="仿宋" w:eastAsia="仿宋" w:hAnsi="仿宋"/>
          <w:sz w:val="28"/>
          <w:szCs w:val="28"/>
        </w:rPr>
      </w:pPr>
      <w:r w:rsidRPr="00347453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6119AF08" wp14:editId="3770D999">
            <wp:extent cx="5281613" cy="8863330"/>
            <wp:effectExtent l="0" t="0" r="0" b="0"/>
            <wp:docPr id="7647799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318" cy="88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5A282" w14:textId="57A77D53" w:rsidR="00347453" w:rsidRPr="00D027DE" w:rsidRDefault="00347453" w:rsidP="00C50112">
      <w:pPr>
        <w:snapToGrid w:val="0"/>
        <w:spacing w:line="360" w:lineRule="auto"/>
        <w:ind w:right="0"/>
        <w:contextualSpacing/>
        <w:rPr>
          <w:rFonts w:ascii="仿宋" w:eastAsia="仿宋" w:hAnsi="仿宋" w:hint="eastAsia"/>
          <w:sz w:val="28"/>
          <w:szCs w:val="28"/>
        </w:rPr>
      </w:pPr>
      <w:r w:rsidRPr="00347453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39CF1D58" wp14:editId="08FD055E">
            <wp:extent cx="5595620" cy="7110413"/>
            <wp:effectExtent l="0" t="0" r="5080" b="0"/>
            <wp:docPr id="14387438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751" cy="711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453" w:rsidRPr="00D02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D05D0" w14:textId="77777777" w:rsidR="00EE15BB" w:rsidRDefault="00EE15BB" w:rsidP="003229D8">
      <w:pPr>
        <w:spacing w:before="0"/>
        <w:rPr>
          <w:rFonts w:hint="eastAsia"/>
        </w:rPr>
      </w:pPr>
      <w:r>
        <w:separator/>
      </w:r>
    </w:p>
  </w:endnote>
  <w:endnote w:type="continuationSeparator" w:id="0">
    <w:p w14:paraId="39B0D4AC" w14:textId="77777777" w:rsidR="00EE15BB" w:rsidRDefault="00EE15BB" w:rsidP="003229D8">
      <w:pPr>
        <w:spacing w:before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7EF0" w14:textId="77777777" w:rsidR="00EE15BB" w:rsidRDefault="00EE15BB" w:rsidP="003229D8">
      <w:pPr>
        <w:spacing w:before="0"/>
        <w:rPr>
          <w:rFonts w:hint="eastAsia"/>
        </w:rPr>
      </w:pPr>
      <w:r>
        <w:separator/>
      </w:r>
    </w:p>
  </w:footnote>
  <w:footnote w:type="continuationSeparator" w:id="0">
    <w:p w14:paraId="2DA24F84" w14:textId="77777777" w:rsidR="00EE15BB" w:rsidRDefault="00EE15BB" w:rsidP="003229D8">
      <w:pPr>
        <w:spacing w:before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04"/>
    <w:rsid w:val="000538EC"/>
    <w:rsid w:val="00076506"/>
    <w:rsid w:val="00093804"/>
    <w:rsid w:val="000E6AEB"/>
    <w:rsid w:val="001818B9"/>
    <w:rsid w:val="002F4896"/>
    <w:rsid w:val="003069D0"/>
    <w:rsid w:val="003229D8"/>
    <w:rsid w:val="00331EFA"/>
    <w:rsid w:val="00347453"/>
    <w:rsid w:val="00484696"/>
    <w:rsid w:val="00597F6C"/>
    <w:rsid w:val="00833EED"/>
    <w:rsid w:val="008C062C"/>
    <w:rsid w:val="009D55DD"/>
    <w:rsid w:val="00B42A88"/>
    <w:rsid w:val="00C36E88"/>
    <w:rsid w:val="00C50112"/>
    <w:rsid w:val="00CF6FF2"/>
    <w:rsid w:val="00D027DE"/>
    <w:rsid w:val="00DE1468"/>
    <w:rsid w:val="00EE15BB"/>
    <w:rsid w:val="00F1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4E51D"/>
  <w15:chartTrackingRefBased/>
  <w15:docId w15:val="{7E7E3C66-9610-4384-8771-E915B3E8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before="100" w:beforeAutospacing="1" w:line="576" w:lineRule="auto"/>
        <w:ind w:right="34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0938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8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80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80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80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80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804"/>
    <w:pPr>
      <w:keepNext/>
      <w:keepLines/>
      <w:spacing w:before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804"/>
    <w:pPr>
      <w:keepNext/>
      <w:keepLines/>
      <w:spacing w:before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8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93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93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9380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380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9380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938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938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938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93804"/>
    <w:pPr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93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8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938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8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938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8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38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3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938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380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29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229D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229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229D8"/>
    <w:rPr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347453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34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264</Words>
  <Characters>313</Characters>
  <Application>Microsoft Office Word</Application>
  <DocSecurity>0</DocSecurity>
  <Lines>15</Lines>
  <Paragraphs>10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8613605707426</dc:creator>
  <cp:keywords/>
  <dc:description/>
  <cp:lastModifiedBy>8613605707426</cp:lastModifiedBy>
  <cp:revision>8</cp:revision>
  <dcterms:created xsi:type="dcterms:W3CDTF">2026-07-20T02:55:00Z</dcterms:created>
  <dcterms:modified xsi:type="dcterms:W3CDTF">2026-07-31T03:06:00Z</dcterms:modified>
</cp:coreProperties>
</file>