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1007DE">
      <w:pPr>
        <w:pStyle w:val="1"/>
        <w:jc w:val="center"/>
        <w:rPr>
          <w:rFonts w:ascii="微软雅黑" w:eastAsia="微软雅黑" w:hAnsi="微软雅黑" w:hint="eastAsia"/>
        </w:rPr>
      </w:pPr>
      <w:bookmarkStart w:id="0" w:name="_GoBack"/>
      <w:bookmarkEnd w:id="0"/>
      <w:r>
        <w:rPr>
          <w:rFonts w:ascii="微软雅黑" w:eastAsia="微软雅黑" w:hAnsi="微软雅黑" w:hint="eastAsia"/>
        </w:rPr>
        <w:t>中国注册会计师协会关于印发</w:t>
      </w:r>
      <w:r>
        <w:rPr>
          <w:rFonts w:ascii="微软雅黑" w:eastAsia="微软雅黑" w:hAnsi="微软雅黑" w:hint="eastAsia"/>
        </w:rPr>
        <w:t>《</w:t>
      </w:r>
      <w:r>
        <w:rPr>
          <w:rFonts w:ascii="微软雅黑" w:eastAsia="微软雅黑" w:hAnsi="微软雅黑" w:hint="eastAsia"/>
        </w:rPr>
        <w:t>应用指南》等</w:t>
      </w:r>
      <w:r>
        <w:rPr>
          <w:rFonts w:ascii="微软雅黑" w:eastAsia="微软雅黑" w:hAnsi="微软雅黑" w:hint="eastAsia"/>
        </w:rPr>
        <w:t>24</w:t>
      </w:r>
      <w:r>
        <w:rPr>
          <w:rFonts w:ascii="微软雅黑" w:eastAsia="微软雅黑" w:hAnsi="微软雅黑" w:hint="eastAsia"/>
        </w:rPr>
        <w:t>项应用指南的通知</w:t>
      </w:r>
    </w:p>
    <w:p w:rsidR="00000000" w:rsidRDefault="001007DE">
      <w:pPr>
        <w:pStyle w:val="promulgatepopulation"/>
        <w:divId w:val="46886429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各省、自治区、直辖市注册会计师协会：</w:t>
      </w:r>
    </w:p>
    <w:p w:rsidR="00000000" w:rsidRDefault="001007DE">
      <w:pPr>
        <w:pStyle w:val="doc-a"/>
        <w:divId w:val="468864292"/>
        <w:rPr>
          <w:rFonts w:hint="eastAsia"/>
        </w:rPr>
      </w:pPr>
      <w:r>
        <w:rPr>
          <w:rFonts w:hint="eastAsia"/>
        </w:rPr>
        <w:t>《中国注册会计师审计准则第</w:t>
      </w:r>
      <w:r>
        <w:rPr>
          <w:rFonts w:hint="eastAsia"/>
        </w:rPr>
        <w:t>1101</w:t>
      </w:r>
      <w:r>
        <w:rPr>
          <w:rFonts w:hint="eastAsia"/>
        </w:rPr>
        <w:t>号——注册会计师的总体目标和审计工作的基本要求》等</w:t>
      </w:r>
      <w:r>
        <w:rPr>
          <w:rFonts w:hint="eastAsia"/>
        </w:rPr>
        <w:t>18</w:t>
      </w:r>
      <w:r>
        <w:rPr>
          <w:rFonts w:hint="eastAsia"/>
        </w:rPr>
        <w:t>项审计准则于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日由财政部批准发布，于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日起施行。为了指导注册会计师正确理解和运用上述审计准则，我会拟订了</w:t>
      </w:r>
      <w:r>
        <w:rPr>
          <w:rFonts w:hint="eastAsia"/>
        </w:rPr>
        <w:t>《</w:t>
      </w:r>
      <w:r>
        <w:rPr>
          <w:rFonts w:hint="eastAsia"/>
        </w:rPr>
        <w:t>应用指南》等</w:t>
      </w:r>
      <w:r>
        <w:rPr>
          <w:rFonts w:hint="eastAsia"/>
          <w:highlight w:val="yellow"/>
        </w:rPr>
        <w:t>24</w:t>
      </w:r>
      <w:r>
        <w:rPr>
          <w:rFonts w:hint="eastAsia"/>
          <w:highlight w:val="yellow"/>
        </w:rPr>
        <w:t>项</w:t>
      </w:r>
      <w:r>
        <w:rPr>
          <w:rFonts w:hint="eastAsia"/>
        </w:rPr>
        <w:t>应用指南（以下统称本批应用指南），现予发布，于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</w:t>
      </w:r>
    </w:p>
    <w:p w:rsidR="00000000" w:rsidRDefault="001007DE">
      <w:pPr>
        <w:pStyle w:val="doc-a"/>
        <w:divId w:val="468864292"/>
        <w:rPr>
          <w:rFonts w:hint="eastAsia"/>
        </w:rPr>
      </w:pPr>
      <w:r>
        <w:rPr>
          <w:rFonts w:hint="eastAsia"/>
        </w:rPr>
        <w:t>应用指南是对审计准则重要条款的进一步解释、说明和举例，旨在为注册会计师更好地理解和运用审计准则提供指引。注册会计师应当掌握审计准则及应用指南的全部内容，以理解每项审计准则的目标并恰当遵守其要求。</w:t>
      </w:r>
    </w:p>
    <w:p w:rsidR="00000000" w:rsidRDefault="001007DE">
      <w:pPr>
        <w:pStyle w:val="doc-a"/>
        <w:divId w:val="468864292"/>
        <w:rPr>
          <w:rFonts w:hint="eastAsia"/>
        </w:rPr>
      </w:pPr>
      <w:r>
        <w:rPr>
          <w:rFonts w:hint="eastAsia"/>
        </w:rPr>
        <w:t>本批应用指南生效实施后，我会于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日发布的《关于印</w:t>
      </w:r>
      <w:r>
        <w:rPr>
          <w:rFonts w:hint="eastAsia"/>
        </w:rPr>
        <w:t>发</w:t>
      </w:r>
      <w:r>
        <w:rPr>
          <w:rFonts w:hint="eastAsia"/>
        </w:rPr>
        <w:t>等</w:t>
      </w:r>
      <w:r>
        <w:rPr>
          <w:rFonts w:hint="eastAsia"/>
        </w:rPr>
        <w:t>16</w:t>
      </w:r>
      <w:r>
        <w:rPr>
          <w:rFonts w:hint="eastAsia"/>
        </w:rPr>
        <w:t>项应用指南的通知》（</w:t>
      </w:r>
      <w:proofErr w:type="gramStart"/>
      <w:r>
        <w:rPr>
          <w:rFonts w:hint="eastAsia"/>
        </w:rPr>
        <w:t>会协〔</w:t>
      </w:r>
      <w:r>
        <w:rPr>
          <w:rFonts w:hint="eastAsia"/>
        </w:rPr>
        <w:t>2017</w:t>
      </w:r>
      <w:r>
        <w:rPr>
          <w:rFonts w:hint="eastAsia"/>
        </w:rPr>
        <w:t>〕</w:t>
      </w:r>
      <w:proofErr w:type="gramEnd"/>
      <w:r>
        <w:rPr>
          <w:rFonts w:hint="eastAsia"/>
        </w:rPr>
        <w:t>11</w:t>
      </w:r>
      <w:r>
        <w:rPr>
          <w:rFonts w:hint="eastAsia"/>
        </w:rPr>
        <w:t>号），以及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日发布的《关于印</w:t>
      </w:r>
      <w:r>
        <w:rPr>
          <w:rFonts w:hint="eastAsia"/>
        </w:rPr>
        <w:t>发</w:t>
      </w:r>
      <w:r>
        <w:rPr>
          <w:rFonts w:hint="eastAsia"/>
        </w:rPr>
        <w:t>等</w:t>
      </w:r>
      <w:r>
        <w:rPr>
          <w:rFonts w:hint="eastAsia"/>
        </w:rPr>
        <w:t>38</w:t>
      </w:r>
      <w:r>
        <w:rPr>
          <w:rFonts w:hint="eastAsia"/>
        </w:rPr>
        <w:t>项应用指南的通知》（</w:t>
      </w:r>
      <w:proofErr w:type="gramStart"/>
      <w:r>
        <w:rPr>
          <w:rFonts w:hint="eastAsia"/>
        </w:rPr>
        <w:t>会协</w:t>
      </w:r>
      <w:proofErr w:type="gramEnd"/>
      <w:r>
        <w:rPr>
          <w:rFonts w:hint="eastAsia"/>
        </w:rPr>
        <w:t>[2010]94</w:t>
      </w:r>
      <w:r>
        <w:rPr>
          <w:rFonts w:hint="eastAsia"/>
        </w:rPr>
        <w:t>号）中</w:t>
      </w:r>
      <w:r>
        <w:rPr>
          <w:rFonts w:hint="eastAsia"/>
        </w:rPr>
        <w:t>,</w:t>
      </w:r>
      <w:r>
        <w:rPr>
          <w:rFonts w:hint="eastAsia"/>
        </w:rPr>
        <w:t>相应的</w:t>
      </w:r>
      <w:r>
        <w:rPr>
          <w:rFonts w:hint="eastAsia"/>
          <w:highlight w:val="yellow"/>
        </w:rPr>
        <w:t>24</w:t>
      </w:r>
      <w:r>
        <w:rPr>
          <w:rFonts w:hint="eastAsia"/>
          <w:highlight w:val="yellow"/>
        </w:rPr>
        <w:t>项</w:t>
      </w:r>
      <w:r>
        <w:rPr>
          <w:rFonts w:hint="eastAsia"/>
        </w:rPr>
        <w:t>应用指南同时废止。</w:t>
      </w:r>
    </w:p>
    <w:p w:rsidR="00000000" w:rsidRDefault="001007DE">
      <w:pPr>
        <w:pStyle w:val="doc-a"/>
        <w:divId w:val="468864292"/>
        <w:rPr>
          <w:rFonts w:hint="eastAsia"/>
        </w:rPr>
      </w:pPr>
      <w:r>
        <w:rPr>
          <w:rFonts w:hint="eastAsia"/>
        </w:rPr>
        <w:t>执行中有何问题，请及时反馈我会。</w:t>
      </w:r>
    </w:p>
    <w:p w:rsidR="00000000" w:rsidRDefault="001007DE">
      <w:pPr>
        <w:pStyle w:val="promulgatesignatory"/>
        <w:divId w:val="46886429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中国注册会计师协会</w:t>
      </w:r>
    </w:p>
    <w:p w:rsidR="00000000" w:rsidRDefault="001007DE">
      <w:pPr>
        <w:pStyle w:val="promulgatedate"/>
        <w:divId w:val="46886429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2019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29</w:t>
      </w:r>
      <w:r>
        <w:rPr>
          <w:rFonts w:ascii="微软雅黑" w:eastAsia="微软雅黑" w:hAnsi="微软雅黑" w:hint="eastAsia"/>
        </w:rPr>
        <w:t>日</w:t>
      </w:r>
    </w:p>
    <w:p w:rsidR="00000000" w:rsidRDefault="001007DE">
      <w:pPr>
        <w:pStyle w:val="doc-a"/>
        <w:divId w:val="468864292"/>
        <w:rPr>
          <w:rFonts w:hint="eastAsia"/>
        </w:rPr>
      </w:pPr>
      <w:r>
        <w:rPr>
          <w:rFonts w:hint="eastAsia"/>
        </w:rPr>
        <w:t>附件：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《中国注册会计师审计准则第</w:t>
      </w:r>
      <w:r>
        <w:rPr>
          <w:rFonts w:hint="eastAsia"/>
        </w:rPr>
        <w:t>1101</w:t>
      </w:r>
      <w:r>
        <w:rPr>
          <w:rFonts w:hint="eastAsia"/>
        </w:rPr>
        <w:t>号——注册会计师的总体目标和审计工作的基本要求》应用指南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《中国注册会计师审计准则第</w:t>
      </w:r>
      <w:r>
        <w:rPr>
          <w:rFonts w:hint="eastAsia"/>
        </w:rPr>
        <w:t>1111</w:t>
      </w:r>
      <w:r>
        <w:rPr>
          <w:rFonts w:hint="eastAsia"/>
        </w:rPr>
        <w:t>号——就审计业务约定条款达成一致意见》应用指南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《中国注册会计师审计准则第</w:t>
      </w:r>
      <w:r>
        <w:rPr>
          <w:rFonts w:hint="eastAsia"/>
        </w:rPr>
        <w:t>1121</w:t>
      </w:r>
      <w:r>
        <w:rPr>
          <w:rFonts w:hint="eastAsia"/>
        </w:rPr>
        <w:t>号——对财务报表审计实施的质量控制》应用指南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《中国注册会计师审计准则第</w:t>
      </w:r>
      <w:r>
        <w:rPr>
          <w:rFonts w:hint="eastAsia"/>
        </w:rPr>
        <w:t>1141</w:t>
      </w:r>
      <w:r>
        <w:rPr>
          <w:rFonts w:hint="eastAsia"/>
        </w:rPr>
        <w:t>号——财务报表审计中与舞弊相关的责任》应用指南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《中国注册会计师审计准则第</w:t>
      </w:r>
      <w:r>
        <w:rPr>
          <w:rFonts w:hint="eastAsia"/>
        </w:rPr>
        <w:t>1142</w:t>
      </w:r>
      <w:r>
        <w:rPr>
          <w:rFonts w:hint="eastAsia"/>
        </w:rPr>
        <w:t>号——财务报表审计中对法律法规的考虑》应用指南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《中国注册会计师审计准则第</w:t>
      </w:r>
      <w:r>
        <w:rPr>
          <w:rFonts w:hint="eastAsia"/>
        </w:rPr>
        <w:t>1151</w:t>
      </w:r>
      <w:r>
        <w:rPr>
          <w:rFonts w:hint="eastAsia"/>
        </w:rPr>
        <w:t>号——与治理层的沟通》应</w:t>
      </w:r>
      <w:r>
        <w:rPr>
          <w:rFonts w:hint="eastAsia"/>
        </w:rPr>
        <w:t>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《中国注册会计师审计准则第</w:t>
      </w:r>
      <w:r>
        <w:rPr>
          <w:rFonts w:hint="eastAsia"/>
        </w:rPr>
        <w:t>1153</w:t>
      </w:r>
      <w:r>
        <w:rPr>
          <w:rFonts w:hint="eastAsia"/>
        </w:rPr>
        <w:t>号——前任注册会计师和后任注册会计师的沟通》应用指南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lastRenderedPageBreak/>
        <w:t>8.</w:t>
      </w:r>
      <w:r>
        <w:rPr>
          <w:rFonts w:hint="eastAsia"/>
        </w:rPr>
        <w:t>《中国注册会计师审计准则第</w:t>
      </w:r>
      <w:r>
        <w:rPr>
          <w:rFonts w:hint="eastAsia"/>
        </w:rPr>
        <w:t>1201</w:t>
      </w:r>
      <w:r>
        <w:rPr>
          <w:rFonts w:hint="eastAsia"/>
        </w:rPr>
        <w:t>号——计划审计工作》应用指南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《中国注册会计师审计准则第</w:t>
      </w:r>
      <w:r>
        <w:rPr>
          <w:rFonts w:hint="eastAsia"/>
        </w:rPr>
        <w:t>1211</w:t>
      </w:r>
      <w:r>
        <w:rPr>
          <w:rFonts w:hint="eastAsia"/>
        </w:rPr>
        <w:t>号——通过了解被审计单位及其环境识别和评估重大错报风险》应用指南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《中国注册会计师审计准则第</w:t>
      </w:r>
      <w:r>
        <w:rPr>
          <w:rFonts w:hint="eastAsia"/>
        </w:rPr>
        <w:t>1221</w:t>
      </w:r>
      <w:r>
        <w:rPr>
          <w:rFonts w:hint="eastAsia"/>
        </w:rPr>
        <w:t>号——计划和执行审计工作时的重要性》应用指南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《中国注册会计师审计准则第</w:t>
      </w:r>
      <w:r>
        <w:rPr>
          <w:rFonts w:hint="eastAsia"/>
        </w:rPr>
        <w:t>1231</w:t>
      </w:r>
      <w:r>
        <w:rPr>
          <w:rFonts w:hint="eastAsia"/>
        </w:rPr>
        <w:t>号——针对评估的重大错报风险采取的应对措施》应用指南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《中国注册会计师审计准则第</w:t>
      </w:r>
      <w:r>
        <w:rPr>
          <w:rFonts w:hint="eastAsia"/>
        </w:rPr>
        <w:t>1251</w:t>
      </w:r>
      <w:r>
        <w:rPr>
          <w:rFonts w:hint="eastAsia"/>
        </w:rPr>
        <w:t>号——评价审计过程中</w:t>
      </w:r>
      <w:r>
        <w:rPr>
          <w:rFonts w:hint="eastAsia"/>
        </w:rPr>
        <w:t>识别出的错报》应用指南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《中国注册会计师审计准则第</w:t>
      </w:r>
      <w:r>
        <w:rPr>
          <w:rFonts w:hint="eastAsia"/>
        </w:rPr>
        <w:t>1301</w:t>
      </w:r>
      <w:r>
        <w:rPr>
          <w:rFonts w:hint="eastAsia"/>
        </w:rPr>
        <w:t>号——审计证据》应用指南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《中国注册会计师审计准则第</w:t>
      </w:r>
      <w:r>
        <w:rPr>
          <w:rFonts w:hint="eastAsia"/>
        </w:rPr>
        <w:t>1311</w:t>
      </w:r>
      <w:r>
        <w:rPr>
          <w:rFonts w:hint="eastAsia"/>
        </w:rPr>
        <w:t>号——对存货、诉讼和索赔、分部信息等特定项目获取审计证据的具体考虑》应用指南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《中国注册会计师审计准则第</w:t>
      </w:r>
      <w:r>
        <w:rPr>
          <w:rFonts w:hint="eastAsia"/>
        </w:rPr>
        <w:t>1321</w:t>
      </w:r>
      <w:r>
        <w:rPr>
          <w:rFonts w:hint="eastAsia"/>
        </w:rPr>
        <w:t>号——审计会计估计（包括公允价值会计估计）和相关披露》应用指南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《中国注册会计师审计准则第</w:t>
      </w:r>
      <w:r>
        <w:rPr>
          <w:rFonts w:hint="eastAsia"/>
        </w:rPr>
        <w:t>1323</w:t>
      </w:r>
      <w:r>
        <w:rPr>
          <w:rFonts w:hint="eastAsia"/>
        </w:rPr>
        <w:t>号——关联方》应用指南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《中国注册会计师审计准则第</w:t>
      </w:r>
      <w:r>
        <w:rPr>
          <w:rFonts w:hint="eastAsia"/>
        </w:rPr>
        <w:t>1341</w:t>
      </w:r>
      <w:r>
        <w:rPr>
          <w:rFonts w:hint="eastAsia"/>
        </w:rPr>
        <w:t>号——书面声明》应用指南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《中国注册会计师审计准则第</w:t>
      </w:r>
      <w:r>
        <w:rPr>
          <w:rFonts w:hint="eastAsia"/>
        </w:rPr>
        <w:t>1401</w:t>
      </w:r>
      <w:r>
        <w:rPr>
          <w:rFonts w:hint="eastAsia"/>
        </w:rPr>
        <w:t>号——对集团财务报表审计的特殊考虑》应用指南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《中国注册会计师审计准则第</w:t>
      </w:r>
      <w:r>
        <w:rPr>
          <w:rFonts w:hint="eastAsia"/>
        </w:rPr>
        <w:t>1411</w:t>
      </w:r>
      <w:r>
        <w:rPr>
          <w:rFonts w:hint="eastAsia"/>
        </w:rPr>
        <w:t>号—利用内部审计人员的工作》应用指南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《中国注册会计师审计准则第</w:t>
      </w:r>
      <w:r>
        <w:rPr>
          <w:rFonts w:hint="eastAsia"/>
        </w:rPr>
        <w:t>1501</w:t>
      </w:r>
      <w:r>
        <w:rPr>
          <w:rFonts w:hint="eastAsia"/>
        </w:rPr>
        <w:t>号——对财务报表形成审计意见和出具审计报告》应用指南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《中国注册会计师审计准则第</w:t>
      </w:r>
      <w:r>
        <w:rPr>
          <w:rFonts w:hint="eastAsia"/>
        </w:rPr>
        <w:t>1502</w:t>
      </w:r>
      <w:r>
        <w:rPr>
          <w:rFonts w:hint="eastAsia"/>
        </w:rPr>
        <w:t>号——在审计报告中发表非无保留意见》应用指南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《中国注册会计师审计准则第</w:t>
      </w:r>
      <w:r>
        <w:rPr>
          <w:rFonts w:hint="eastAsia"/>
        </w:rPr>
        <w:t>1503</w:t>
      </w:r>
      <w:r>
        <w:rPr>
          <w:rFonts w:hint="eastAsia"/>
        </w:rPr>
        <w:t>号——在审计报告中增加强调事项段和其他事项段》应用指南</w:t>
      </w:r>
    </w:p>
    <w:p w:rsidR="00000000" w:rsidRDefault="001007DE">
      <w:pPr>
        <w:pStyle w:val="doc-a"/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《中国注册会计师审计准则第</w:t>
      </w:r>
      <w:r>
        <w:rPr>
          <w:rFonts w:hint="eastAsia"/>
        </w:rPr>
        <w:t>1504</w:t>
      </w:r>
      <w:r>
        <w:rPr>
          <w:rFonts w:hint="eastAsia"/>
        </w:rPr>
        <w:t>号——在审计报告中沟通关键审计事项》应用指南</w:t>
      </w:r>
    </w:p>
    <w:p w:rsidR="001007DE" w:rsidRDefault="001007DE">
      <w:pPr>
        <w:pStyle w:val="doc-a"/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《质量控制准则第</w:t>
      </w:r>
      <w:r>
        <w:rPr>
          <w:rFonts w:hint="eastAsia"/>
        </w:rPr>
        <w:t>51</w:t>
      </w:r>
      <w:r>
        <w:rPr>
          <w:rFonts w:hint="eastAsia"/>
        </w:rPr>
        <w:t>01</w:t>
      </w:r>
      <w:r>
        <w:rPr>
          <w:rFonts w:hint="eastAsia"/>
        </w:rPr>
        <w:t>号——会计师事务所对执行财务报表审计和审阅、其他</w:t>
      </w:r>
      <w:proofErr w:type="gramStart"/>
      <w:r>
        <w:rPr>
          <w:rFonts w:hint="eastAsia"/>
        </w:rPr>
        <w:t>鉴证</w:t>
      </w:r>
      <w:proofErr w:type="gramEnd"/>
      <w:r>
        <w:rPr>
          <w:rFonts w:hint="eastAsia"/>
        </w:rPr>
        <w:t>和相关服务业务实施的质量控制》应用指南</w:t>
      </w:r>
    </w:p>
    <w:sectPr w:rsidR="001007DE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DE" w:rsidRDefault="001007DE">
      <w:pPr>
        <w:rPr>
          <w:rFonts w:hint="eastAsia"/>
        </w:rPr>
      </w:pPr>
      <w:r>
        <w:separator/>
      </w:r>
    </w:p>
  </w:endnote>
  <w:endnote w:type="continuationSeparator" w:id="0">
    <w:p w:rsidR="001007DE" w:rsidRDefault="001007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DE" w:rsidRDefault="001007DE">
      <w:r>
        <w:separator/>
      </w:r>
    </w:p>
  </w:footnote>
  <w:footnote w:type="continuationSeparator" w:id="0">
    <w:p w:rsidR="001007DE" w:rsidRDefault="001007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18"/>
    <w:rsid w:val="001007DE"/>
    <w:rsid w:val="008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D728D-C635-450F-9A0D-2BA39A7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10">
    <w:name w:val="标题 1 字符"/>
    <w:basedOn w:val="a0"/>
    <w:link w:val="1"/>
    <w:uiPriority w:val="9"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ceng">
    <w:name w:val="ceng"/>
    <w:basedOn w:val="a"/>
    <w:uiPriority w:val="99"/>
    <w:semiHidden/>
    <w:pPr>
      <w:spacing w:before="100" w:beforeAutospacing="1" w:after="100" w:afterAutospacing="1" w:line="375" w:lineRule="atLeast"/>
      <w:jc w:val="center"/>
    </w:pPr>
  </w:style>
  <w:style w:type="paragraph" w:customStyle="1" w:styleId="doc-a">
    <w:name w:val="doc-a"/>
    <w:basedOn w:val="a"/>
    <w:uiPriority w:val="99"/>
    <w:semiHidden/>
    <w:pPr>
      <w:spacing w:before="100" w:beforeAutospacing="1" w:after="100" w:afterAutospacing="1"/>
      <w:ind w:firstLine="480"/>
    </w:pPr>
    <w:rPr>
      <w:rFonts w:ascii="微软雅黑" w:eastAsia="微软雅黑" w:hAnsi="微软雅黑"/>
      <w:sz w:val="21"/>
      <w:szCs w:val="21"/>
    </w:rPr>
  </w:style>
  <w:style w:type="paragraph" w:customStyle="1" w:styleId="doc-a-en">
    <w:name w:val="doc-a-en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cnsubtitle">
    <w:name w:val="cnsubtitle"/>
    <w:basedOn w:val="a"/>
    <w:uiPriority w:val="99"/>
    <w:semiHidden/>
    <w:pPr>
      <w:spacing w:before="450" w:after="450" w:line="300" w:lineRule="exact"/>
      <w:ind w:left="150" w:right="150"/>
    </w:pPr>
    <w:rPr>
      <w:rFonts w:ascii="微软雅黑" w:eastAsia="微软雅黑" w:hAnsi="微软雅黑"/>
      <w:sz w:val="21"/>
      <w:szCs w:val="21"/>
    </w:rPr>
  </w:style>
  <w:style w:type="paragraph" w:customStyle="1" w:styleId="blue">
    <w:name w:val="blue"/>
    <w:basedOn w:val="a"/>
    <w:uiPriority w:val="99"/>
    <w:semiHidden/>
    <w:pPr>
      <w:spacing w:before="100" w:beforeAutospacing="1" w:after="100" w:afterAutospacing="1"/>
    </w:pPr>
  </w:style>
  <w:style w:type="paragraph" w:customStyle="1" w:styleId="yanzheng">
    <w:name w:val="yanzheng"/>
    <w:basedOn w:val="a"/>
    <w:uiPriority w:val="99"/>
    <w:semiHidden/>
    <w:pPr>
      <w:spacing w:before="100" w:beforeAutospacing="1" w:after="100" w:afterAutospacing="1"/>
    </w:pPr>
  </w:style>
  <w:style w:type="paragraph" w:customStyle="1" w:styleId="shubiao">
    <w:name w:val="shubiao"/>
    <w:basedOn w:val="a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pPr>
      <w:spacing w:before="100" w:beforeAutospacing="1" w:after="100" w:afterAutospacing="1"/>
    </w:pPr>
  </w:style>
  <w:style w:type="paragraph" w:customStyle="1" w:styleId="body-bga">
    <w:name w:val="body-bga"/>
    <w:basedOn w:val="a"/>
    <w:uiPriority w:val="99"/>
    <w:semiHidden/>
    <w:pPr>
      <w:spacing w:before="100" w:beforeAutospacing="1" w:after="100" w:afterAutospacing="1"/>
    </w:pPr>
  </w:style>
  <w:style w:type="paragraph" w:customStyle="1" w:styleId="body-bgb">
    <w:name w:val="body-bgb"/>
    <w:basedOn w:val="a"/>
    <w:uiPriority w:val="99"/>
    <w:semiHidden/>
    <w:pPr>
      <w:spacing w:before="100" w:beforeAutospacing="1" w:after="100" w:afterAutospacing="1"/>
    </w:pPr>
  </w:style>
  <w:style w:type="paragraph" w:customStyle="1" w:styleId="language">
    <w:name w:val="language"/>
    <w:basedOn w:val="a"/>
    <w:uiPriority w:val="99"/>
    <w:semiHidden/>
  </w:style>
  <w:style w:type="paragraph" w:customStyle="1" w:styleId="loadul">
    <w:name w:val="loadul"/>
    <w:basedOn w:val="a"/>
    <w:uiPriority w:val="99"/>
    <w:semiHidden/>
    <w:pPr>
      <w:spacing w:before="100" w:beforeAutospacing="1" w:after="100" w:afterAutospacing="1"/>
    </w:pPr>
  </w:style>
  <w:style w:type="paragraph" w:customStyle="1" w:styleId="inputstyle01">
    <w:name w:val="inputstyle01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inputbutt">
    <w:name w:val="inputbutt"/>
    <w:basedOn w:val="a"/>
    <w:uiPriority w:val="99"/>
    <w:semiHidden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top">
    <w:name w:val="top"/>
    <w:basedOn w:val="a"/>
    <w:uiPriority w:val="99"/>
    <w:semiHidden/>
  </w:style>
  <w:style w:type="paragraph" w:customStyle="1" w:styleId="menu">
    <w:name w:val="menu"/>
    <w:basedOn w:val="a"/>
    <w:uiPriority w:val="99"/>
    <w:semiHidden/>
  </w:style>
  <w:style w:type="paragraph" w:customStyle="1" w:styleId="menu1">
    <w:name w:val="menu1"/>
    <w:basedOn w:val="a"/>
    <w:uiPriority w:val="99"/>
    <w:semiHidden/>
    <w:pPr>
      <w:spacing w:before="100" w:beforeAutospacing="1" w:after="100" w:afterAutospacing="1"/>
    </w:pPr>
  </w:style>
  <w:style w:type="paragraph" w:customStyle="1" w:styleId="menu2">
    <w:name w:val="menu2"/>
    <w:basedOn w:val="a"/>
    <w:uiPriority w:val="99"/>
    <w:semiHidden/>
    <w:pPr>
      <w:spacing w:before="100" w:beforeAutospacing="1" w:after="100" w:afterAutospacing="1"/>
    </w:pPr>
  </w:style>
  <w:style w:type="paragraph" w:customStyle="1" w:styleId="menu01">
    <w:name w:val="menu01"/>
    <w:basedOn w:val="a"/>
    <w:uiPriority w:val="99"/>
    <w:semiHidden/>
  </w:style>
  <w:style w:type="paragraph" w:customStyle="1" w:styleId="sou">
    <w:name w:val="sou"/>
    <w:basedOn w:val="a"/>
    <w:uiPriority w:val="99"/>
    <w:semiHidden/>
    <w:pPr>
      <w:spacing w:before="100" w:beforeAutospacing="1" w:after="100" w:afterAutospacing="1" w:line="420" w:lineRule="atLeast"/>
    </w:pPr>
  </w:style>
  <w:style w:type="paragraph" w:customStyle="1" w:styleId="soubutt">
    <w:name w:val="soubutt"/>
    <w:basedOn w:val="a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ontent">
    <w:name w:val="content"/>
    <w:basedOn w:val="a"/>
    <w:uiPriority w:val="99"/>
    <w:semiHidden/>
  </w:style>
  <w:style w:type="paragraph" w:customStyle="1" w:styleId="colorstyle0">
    <w:name w:val="colorstyle0"/>
    <w:basedOn w:val="a"/>
    <w:uiPriority w:val="99"/>
    <w:semiHidden/>
    <w:pPr>
      <w:spacing w:before="100" w:beforeAutospacing="1" w:after="100" w:afterAutospacing="1"/>
    </w:pPr>
    <w:rPr>
      <w:color w:val="DA0E63"/>
    </w:rPr>
  </w:style>
  <w:style w:type="paragraph" w:customStyle="1" w:styleId="colorstyle1">
    <w:name w:val="colorstyle1"/>
    <w:basedOn w:val="a"/>
    <w:uiPriority w:val="99"/>
    <w:semiHidden/>
    <w:pPr>
      <w:spacing w:before="100" w:beforeAutospacing="1" w:after="100" w:afterAutospacing="1"/>
    </w:pPr>
    <w:rPr>
      <w:color w:val="007FBD"/>
    </w:rPr>
  </w:style>
  <w:style w:type="paragraph" w:customStyle="1" w:styleId="colorstyle2">
    <w:name w:val="colorstyle2"/>
    <w:basedOn w:val="a"/>
    <w:uiPriority w:val="99"/>
    <w:semiHidden/>
    <w:pPr>
      <w:spacing w:before="100" w:beforeAutospacing="1" w:after="100" w:afterAutospacing="1"/>
    </w:pPr>
    <w:rPr>
      <w:color w:val="007FBD"/>
    </w:rPr>
  </w:style>
  <w:style w:type="paragraph" w:customStyle="1" w:styleId="colorstyle3">
    <w:name w:val="colorstyle3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olorstyle4">
    <w:name w:val="colorstyle4"/>
    <w:basedOn w:val="a"/>
    <w:uiPriority w:val="99"/>
    <w:semiHidden/>
    <w:pPr>
      <w:spacing w:before="100" w:beforeAutospacing="1" w:after="100" w:afterAutospacing="1"/>
    </w:pPr>
    <w:rPr>
      <w:color w:val="000000"/>
    </w:rPr>
  </w:style>
  <w:style w:type="paragraph" w:customStyle="1" w:styleId="colorstyle7">
    <w:name w:val="colorstyle7"/>
    <w:basedOn w:val="a"/>
    <w:uiPriority w:val="99"/>
    <w:semiHidden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colorstyle8">
    <w:name w:val="colorstyle8"/>
    <w:basedOn w:val="a"/>
    <w:uiPriority w:val="99"/>
    <w:semiHidden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colorstyle9">
    <w:name w:val="colorstyle9"/>
    <w:basedOn w:val="a"/>
    <w:uiPriority w:val="99"/>
    <w:semiHidden/>
    <w:pPr>
      <w:spacing w:before="100" w:beforeAutospacing="1" w:after="100" w:afterAutospacing="1"/>
    </w:pPr>
    <w:rPr>
      <w:color w:val="656668"/>
      <w:sz w:val="18"/>
      <w:szCs w:val="18"/>
    </w:rPr>
  </w:style>
  <w:style w:type="paragraph" w:customStyle="1" w:styleId="souend">
    <w:name w:val="souend"/>
    <w:basedOn w:val="a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daohang">
    <w:name w:val="daohang"/>
    <w:basedOn w:val="a"/>
    <w:uiPriority w:val="99"/>
    <w:semiHidden/>
    <w:pPr>
      <w:spacing w:before="75"/>
    </w:pPr>
  </w:style>
  <w:style w:type="paragraph" w:customStyle="1" w:styleId="rightcon">
    <w:name w:val="rightcon"/>
    <w:basedOn w:val="a"/>
    <w:uiPriority w:val="99"/>
    <w:semiHidden/>
  </w:style>
  <w:style w:type="paragraph" w:customStyle="1" w:styleId="rightcon-a">
    <w:name w:val="rightcon-a"/>
    <w:basedOn w:val="a"/>
    <w:uiPriority w:val="99"/>
    <w:semiHidden/>
    <w:pPr>
      <w:spacing w:before="100" w:beforeAutospacing="1" w:after="100" w:afterAutospacing="1"/>
    </w:pPr>
  </w:style>
  <w:style w:type="paragraph" w:customStyle="1" w:styleId="rightcon-b">
    <w:name w:val="rightcon-b"/>
    <w:basedOn w:val="a"/>
    <w:uiPriority w:val="99"/>
    <w:semiHidden/>
    <w:pPr>
      <w:spacing w:before="100" w:beforeAutospacing="1" w:after="100" w:afterAutospacing="1"/>
    </w:pPr>
  </w:style>
  <w:style w:type="paragraph" w:customStyle="1" w:styleId="downbg">
    <w:name w:val="downbg"/>
    <w:basedOn w:val="a"/>
    <w:uiPriority w:val="99"/>
    <w:semiHidden/>
    <w:pPr>
      <w:spacing w:before="100" w:beforeAutospacing="1" w:after="100" w:afterAutospacing="1"/>
    </w:pPr>
  </w:style>
  <w:style w:type="paragraph" w:customStyle="1" w:styleId="page">
    <w:name w:val="page"/>
    <w:basedOn w:val="a"/>
    <w:uiPriority w:val="99"/>
    <w:semiHidden/>
    <w:pPr>
      <w:spacing w:before="150"/>
      <w:jc w:val="right"/>
    </w:pPr>
  </w:style>
  <w:style w:type="paragraph" w:customStyle="1" w:styleId="banner">
    <w:name w:val="banner"/>
    <w:basedOn w:val="a"/>
    <w:uiPriority w:val="99"/>
    <w:semiHidden/>
    <w:pPr>
      <w:spacing w:after="300"/>
    </w:pPr>
  </w:style>
  <w:style w:type="paragraph" w:customStyle="1" w:styleId="shujiul">
    <w:name w:val="shujiul"/>
    <w:basedOn w:val="a"/>
    <w:uiPriority w:val="99"/>
    <w:semiHidden/>
    <w:pPr>
      <w:pBdr>
        <w:bottom w:val="single" w:sz="6" w:space="0" w:color="CCCCCC"/>
      </w:pBdr>
      <w:spacing w:before="150"/>
    </w:pPr>
  </w:style>
  <w:style w:type="paragraph" w:customStyle="1" w:styleId="bookscon">
    <w:name w:val="bookscon"/>
    <w:basedOn w:val="a"/>
    <w:uiPriority w:val="99"/>
    <w:semiHidden/>
    <w:pPr>
      <w:pBdr>
        <w:top w:val="single" w:sz="2" w:space="0" w:color="7BB643"/>
        <w:left w:val="single" w:sz="2" w:space="0" w:color="7BB643"/>
        <w:bottom w:val="single" w:sz="2" w:space="0" w:color="7BB643"/>
        <w:right w:val="single" w:sz="2" w:space="0" w:color="7BB643"/>
      </w:pBdr>
    </w:pPr>
  </w:style>
  <w:style w:type="paragraph" w:customStyle="1" w:styleId="books-ce">
    <w:name w:val="books-ce"/>
    <w:basedOn w:val="a"/>
    <w:uiPriority w:val="99"/>
    <w:semiHidden/>
    <w:pPr>
      <w:spacing w:before="100" w:beforeAutospacing="1" w:after="100" w:afterAutospacing="1" w:line="360" w:lineRule="atLeast"/>
      <w:ind w:left="300"/>
      <w:jc w:val="center"/>
    </w:pPr>
  </w:style>
  <w:style w:type="paragraph" w:customStyle="1" w:styleId="bought">
    <w:name w:val="bought"/>
    <w:basedOn w:val="a"/>
    <w:uiPriority w:val="99"/>
    <w:semiHidden/>
    <w:pPr>
      <w:spacing w:before="100" w:beforeAutospacing="1" w:after="100" w:afterAutospacing="1" w:line="360" w:lineRule="atLeast"/>
      <w:ind w:left="300"/>
      <w:jc w:val="center"/>
    </w:pPr>
  </w:style>
  <w:style w:type="paragraph" w:customStyle="1" w:styleId="zydzmenu">
    <w:name w:val="zydzmenu"/>
    <w:basedOn w:val="a"/>
    <w:uiPriority w:val="99"/>
    <w:semiHidden/>
    <w:pPr>
      <w:spacing w:before="100" w:beforeAutospacing="1" w:after="100" w:afterAutospacing="1"/>
    </w:pPr>
  </w:style>
  <w:style w:type="paragraph" w:customStyle="1" w:styleId="zydzmenua">
    <w:name w:val="zydzmenua"/>
    <w:basedOn w:val="a"/>
    <w:uiPriority w:val="99"/>
    <w:semiHidden/>
    <w:pPr>
      <w:spacing w:line="525" w:lineRule="atLeast"/>
    </w:pPr>
  </w:style>
  <w:style w:type="paragraph" w:customStyle="1" w:styleId="zydz-cn">
    <w:name w:val="zydz-cn"/>
    <w:basedOn w:val="a"/>
    <w:uiPriority w:val="99"/>
    <w:semiHidden/>
    <w:pPr>
      <w:spacing w:line="465" w:lineRule="atLeast"/>
      <w:ind w:left="-450"/>
    </w:pPr>
  </w:style>
  <w:style w:type="paragraph" w:customStyle="1" w:styleId="zhengwen">
    <w:name w:val="zhengwen"/>
    <w:basedOn w:val="a"/>
    <w:uiPriority w:val="99"/>
    <w:semiHidden/>
    <w:pPr>
      <w:pBdr>
        <w:top w:val="single" w:sz="6" w:space="0" w:color="7BB643"/>
        <w:left w:val="single" w:sz="6" w:space="31" w:color="7BB643"/>
        <w:bottom w:val="single" w:sz="6" w:space="0" w:color="7BB643"/>
        <w:right w:val="single" w:sz="6" w:space="0" w:color="7BB643"/>
      </w:pBdr>
      <w:spacing w:line="450" w:lineRule="atLeast"/>
    </w:pPr>
  </w:style>
  <w:style w:type="paragraph" w:customStyle="1" w:styleId="yincang">
    <w:name w:val="yincang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zydzula">
    <w:name w:val="zydzula"/>
    <w:basedOn w:val="a"/>
    <w:uiPriority w:val="99"/>
    <w:semiHidden/>
  </w:style>
  <w:style w:type="paragraph" w:customStyle="1" w:styleId="style1">
    <w:name w:val="style1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color w:val="FFFFFF"/>
    </w:rPr>
  </w:style>
  <w:style w:type="paragraph" w:customStyle="1" w:styleId="news-title">
    <w:name w:val="news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news-body">
    <w:name w:val="news-body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treven">
    <w:name w:val="treven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rodd">
    <w:name w:val="trodd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doc-b">
    <w:name w:val="doc-b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commentarytitle">
    <w:name w:val="commentarytitle"/>
    <w:basedOn w:val="a"/>
    <w:uiPriority w:val="99"/>
    <w:semiHidden/>
    <w:rPr>
      <w:rFonts w:ascii="微软雅黑" w:eastAsia="微软雅黑" w:hAnsi="微软雅黑"/>
      <w:b/>
      <w:bCs/>
      <w:color w:val="000000"/>
      <w:sz w:val="21"/>
      <w:szCs w:val="21"/>
    </w:rPr>
  </w:style>
  <w:style w:type="paragraph" w:customStyle="1" w:styleId="doclinked">
    <w:name w:val="doclinked"/>
    <w:basedOn w:val="a"/>
    <w:uiPriority w:val="99"/>
    <w:semiHidden/>
    <w:pPr>
      <w:spacing w:before="100" w:beforeAutospacing="1" w:after="100" w:afterAutospacing="1"/>
      <w:ind w:left="450"/>
    </w:pPr>
    <w:rPr>
      <w:rFonts w:ascii="微软雅黑" w:eastAsia="微软雅黑" w:hAnsi="微软雅黑"/>
      <w:sz w:val="20"/>
      <w:szCs w:val="20"/>
    </w:rPr>
  </w:style>
  <w:style w:type="paragraph" w:customStyle="1" w:styleId="reflink">
    <w:name w:val="reflink"/>
    <w:basedOn w:val="a"/>
    <w:uiPriority w:val="99"/>
    <w:semiHidden/>
    <w:pPr>
      <w:spacing w:before="100" w:beforeAutospacing="1" w:after="100" w:afterAutospacing="1"/>
      <w:ind w:left="300"/>
    </w:pPr>
  </w:style>
  <w:style w:type="paragraph" w:customStyle="1" w:styleId="textlink">
    <w:name w:val="textlink"/>
    <w:basedOn w:val="a"/>
    <w:uiPriority w:val="99"/>
    <w:semiHidden/>
    <w:pPr>
      <w:spacing w:before="100" w:beforeAutospacing="1" w:after="100" w:afterAutospacing="1"/>
    </w:pPr>
  </w:style>
  <w:style w:type="paragraph" w:customStyle="1" w:styleId="news-body-zh">
    <w:name w:val="news-body-zh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news-body-en">
    <w:name w:val="news-body-en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30"/>
      <w:szCs w:val="30"/>
    </w:rPr>
  </w:style>
  <w:style w:type="paragraph" w:customStyle="1" w:styleId="linkdoc">
    <w:name w:val="linkdoc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color w:val="990000"/>
      <w:sz w:val="20"/>
      <w:szCs w:val="20"/>
    </w:rPr>
  </w:style>
  <w:style w:type="paragraph" w:customStyle="1" w:styleId="style3">
    <w:name w:val="style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itle">
    <w:name w:val="doc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doctitle">
    <w:name w:val="doc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color w:val="16679C"/>
      <w:sz w:val="30"/>
      <w:szCs w:val="30"/>
    </w:rPr>
  </w:style>
  <w:style w:type="paragraph" w:customStyle="1" w:styleId="sect-title">
    <w:name w:val="sect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0"/>
      <w:szCs w:val="20"/>
    </w:rPr>
  </w:style>
  <w:style w:type="paragraph" w:customStyle="1" w:styleId="bookname">
    <w:name w:val="bookname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article-title">
    <w:name w:val="article-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sz w:val="29"/>
      <w:szCs w:val="29"/>
    </w:rPr>
  </w:style>
  <w:style w:type="paragraph" w:customStyle="1" w:styleId="chapter-title">
    <w:name w:val="chapter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7"/>
      <w:szCs w:val="27"/>
    </w:rPr>
  </w:style>
  <w:style w:type="paragraph" w:customStyle="1" w:styleId="sect1-title">
    <w:name w:val="sect1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6"/>
      <w:szCs w:val="26"/>
    </w:rPr>
  </w:style>
  <w:style w:type="paragraph" w:customStyle="1" w:styleId="sect2-title">
    <w:name w:val="sect2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2title">
    <w:name w:val="sect2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3-title">
    <w:name w:val="sect3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20"/>
      <w:szCs w:val="20"/>
    </w:rPr>
  </w:style>
  <w:style w:type="paragraph" w:customStyle="1" w:styleId="sect4-title">
    <w:name w:val="sect4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18"/>
      <w:szCs w:val="18"/>
    </w:rPr>
  </w:style>
  <w:style w:type="paragraph" w:customStyle="1" w:styleId="sect5-title">
    <w:name w:val="sect5-title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b/>
      <w:bCs/>
      <w:sz w:val="18"/>
      <w:szCs w:val="18"/>
    </w:rPr>
  </w:style>
  <w:style w:type="paragraph" w:customStyle="1" w:styleId="dochiddenfield">
    <w:name w:val="dochiddenfield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ncasetitle">
    <w:name w:val="cncase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</w:rPr>
  </w:style>
  <w:style w:type="paragraph" w:customStyle="1" w:styleId="cncasesubtitle">
    <w:name w:val="cncasesub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sz w:val="23"/>
      <w:szCs w:val="23"/>
    </w:rPr>
  </w:style>
  <w:style w:type="paragraph" w:customStyle="1" w:styleId="cntitle">
    <w:name w:val="cntitle"/>
    <w:basedOn w:val="a"/>
    <w:uiPriority w:val="99"/>
    <w:semiHidden/>
    <w:pPr>
      <w:spacing w:before="150" w:after="150"/>
      <w:ind w:left="150" w:right="150"/>
      <w:jc w:val="center"/>
    </w:pPr>
    <w:rPr>
      <w:rFonts w:ascii="微软雅黑" w:eastAsia="微软雅黑" w:hAnsi="微软雅黑"/>
      <w:b/>
      <w:bCs/>
      <w:vanish/>
    </w:rPr>
  </w:style>
  <w:style w:type="paragraph" w:customStyle="1" w:styleId="promulgatetitle">
    <w:name w:val="promulgate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vanish/>
    </w:rPr>
  </w:style>
  <w:style w:type="paragraph" w:customStyle="1" w:styleId="promulgatesubtitle">
    <w:name w:val="promulgatesubtitle"/>
    <w:basedOn w:val="a"/>
    <w:uiPriority w:val="99"/>
    <w:semiHidden/>
    <w:pPr>
      <w:spacing w:before="150" w:after="150"/>
      <w:ind w:left="150" w:right="150"/>
      <w:jc w:val="center"/>
    </w:pPr>
    <w:rPr>
      <w:rFonts w:ascii="微软雅黑" w:eastAsia="微软雅黑" w:hAnsi="微软雅黑"/>
      <w:sz w:val="23"/>
      <w:szCs w:val="23"/>
    </w:rPr>
  </w:style>
  <w:style w:type="paragraph" w:customStyle="1" w:styleId="promulgatepopulation">
    <w:name w:val="promulgatepopulation"/>
    <w:basedOn w:val="a"/>
    <w:uiPriority w:val="99"/>
    <w:semiHidden/>
    <w:rPr>
      <w:sz w:val="21"/>
      <w:szCs w:val="21"/>
    </w:rPr>
  </w:style>
  <w:style w:type="paragraph" w:customStyle="1" w:styleId="promulgatedate">
    <w:name w:val="promulgatedate"/>
    <w:basedOn w:val="a"/>
    <w:uiPriority w:val="99"/>
    <w:semiHidden/>
    <w:pPr>
      <w:jc w:val="right"/>
    </w:pPr>
    <w:rPr>
      <w:sz w:val="21"/>
      <w:szCs w:val="21"/>
    </w:rPr>
  </w:style>
  <w:style w:type="paragraph" w:customStyle="1" w:styleId="promulgatesignatory">
    <w:name w:val="promulgatesignatory"/>
    <w:basedOn w:val="a"/>
    <w:uiPriority w:val="99"/>
    <w:semiHidden/>
    <w:pPr>
      <w:jc w:val="right"/>
    </w:pPr>
    <w:rPr>
      <w:sz w:val="21"/>
      <w:szCs w:val="21"/>
    </w:rPr>
  </w:style>
  <w:style w:type="paragraph" w:customStyle="1" w:styleId="sepreatorline">
    <w:name w:val="sepreatorline"/>
    <w:basedOn w:val="a"/>
    <w:uiPriority w:val="99"/>
    <w:semiHidden/>
    <w:pPr>
      <w:shd w:val="clear" w:color="auto" w:fill="FFFFFF"/>
    </w:pPr>
  </w:style>
  <w:style w:type="paragraph" w:customStyle="1" w:styleId="redword">
    <w:name w:val="redword"/>
    <w:basedOn w:val="a"/>
    <w:uiPriority w:val="99"/>
    <w:semiHidden/>
    <w:pPr>
      <w:shd w:val="clear" w:color="auto" w:fill="CFB6FA"/>
      <w:spacing w:before="100" w:beforeAutospacing="1" w:after="100" w:afterAutospacing="1"/>
    </w:pPr>
  </w:style>
  <w:style w:type="paragraph" w:customStyle="1" w:styleId="treatytitle">
    <w:name w:val="treaty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</w:rPr>
  </w:style>
  <w:style w:type="paragraph" w:customStyle="1" w:styleId="title">
    <w:name w:val="title"/>
    <w:basedOn w:val="a"/>
    <w:uiPriority w:val="99"/>
    <w:semiHidden/>
    <w:pPr>
      <w:spacing w:before="100" w:beforeAutospacing="1" w:after="100" w:afterAutospacing="1"/>
      <w:ind w:firstLine="480"/>
    </w:pPr>
    <w:rPr>
      <w:rFonts w:ascii="微软雅黑" w:eastAsia="微软雅黑" w:hAnsi="微软雅黑"/>
      <w:sz w:val="21"/>
      <w:szCs w:val="21"/>
    </w:rPr>
  </w:style>
  <w:style w:type="paragraph" w:customStyle="1" w:styleId="metaname">
    <w:name w:val="metaname"/>
    <w:basedOn w:val="a"/>
    <w:uiPriority w:val="99"/>
    <w:semiHidden/>
    <w:pPr>
      <w:spacing w:before="100" w:beforeAutospacing="1" w:after="100" w:afterAutospacing="1"/>
      <w:ind w:firstLine="480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sect1title">
    <w:name w:val="sect1title"/>
    <w:basedOn w:val="a"/>
    <w:uiPriority w:val="99"/>
    <w:semiHidden/>
    <w:pPr>
      <w:spacing w:before="100" w:beforeAutospacing="1" w:after="100" w:afterAutospacing="1"/>
      <w:jc w:val="center"/>
    </w:pPr>
    <w:rPr>
      <w:rFonts w:ascii="微软雅黑" w:eastAsia="微软雅黑" w:hAnsi="微软雅黑"/>
      <w:b/>
      <w:bCs/>
      <w:sz w:val="21"/>
      <w:szCs w:val="21"/>
    </w:rPr>
  </w:style>
  <w:style w:type="paragraph" w:customStyle="1" w:styleId="metabl">
    <w:name w:val="metabl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alignjustify">
    <w:name w:val="alignjustify"/>
    <w:basedOn w:val="a"/>
    <w:uiPriority w:val="99"/>
    <w:semiHidden/>
    <w:pPr>
      <w:spacing w:before="100" w:beforeAutospacing="1" w:after="100" w:afterAutospacing="1" w:line="440" w:lineRule="atLeast"/>
      <w:jc w:val="distribute"/>
    </w:pPr>
    <w:rPr>
      <w:b/>
      <w:bCs/>
    </w:rPr>
  </w:style>
  <w:style w:type="paragraph" w:customStyle="1" w:styleId="alignjustifynote">
    <w:name w:val="alignjustify_note"/>
    <w:basedOn w:val="a"/>
    <w:uiPriority w:val="99"/>
    <w:semiHidden/>
    <w:pPr>
      <w:spacing w:before="100" w:beforeAutospacing="1" w:after="100" w:afterAutospacing="1" w:line="440" w:lineRule="atLeast"/>
      <w:jc w:val="distribute"/>
    </w:pPr>
    <w:rPr>
      <w:b/>
      <w:bCs/>
    </w:rPr>
  </w:style>
  <w:style w:type="paragraph" w:customStyle="1" w:styleId="aligntop">
    <w:name w:val="aligntop"/>
    <w:basedOn w:val="a"/>
    <w:uiPriority w:val="99"/>
    <w:semiHidden/>
    <w:pPr>
      <w:spacing w:before="100" w:beforeAutospacing="1" w:after="100" w:afterAutospacing="1" w:line="440" w:lineRule="atLeast"/>
    </w:pPr>
  </w:style>
  <w:style w:type="paragraph" w:customStyle="1" w:styleId="space1">
    <w:name w:val="space1"/>
    <w:basedOn w:val="a"/>
    <w:uiPriority w:val="99"/>
    <w:semiHidden/>
    <w:pPr>
      <w:spacing w:before="100" w:beforeAutospacing="1" w:after="100" w:afterAutospacing="1" w:line="440" w:lineRule="atLeast"/>
    </w:pPr>
  </w:style>
  <w:style w:type="paragraph" w:customStyle="1" w:styleId="articleprompt">
    <w:name w:val="articleprompt"/>
    <w:basedOn w:val="a"/>
    <w:uiPriority w:val="99"/>
    <w:semiHidden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pacing w:before="75" w:after="75"/>
      <w:ind w:left="120" w:right="150"/>
    </w:pPr>
    <w:rPr>
      <w:color w:val="666666"/>
    </w:rPr>
  </w:style>
  <w:style w:type="paragraph" w:customStyle="1" w:styleId="reflink-first-span">
    <w:name w:val="reflink-first-span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bluebold">
    <w:name w:val="bluebold"/>
    <w:basedOn w:val="a"/>
    <w:uiPriority w:val="99"/>
    <w:semiHidden/>
    <w:pPr>
      <w:spacing w:before="100" w:beforeAutospacing="1" w:after="100" w:afterAutospacing="1"/>
    </w:pPr>
  </w:style>
  <w:style w:type="paragraph" w:customStyle="1" w:styleId="yanzhengma">
    <w:name w:val="yanzhengma"/>
    <w:basedOn w:val="a"/>
    <w:uiPriority w:val="99"/>
    <w:semiHidden/>
    <w:pPr>
      <w:spacing w:before="100" w:beforeAutospacing="1" w:after="100" w:afterAutospacing="1"/>
    </w:pPr>
  </w:style>
  <w:style w:type="paragraph" w:customStyle="1" w:styleId="biaoqianyun">
    <w:name w:val="biaoqianyun"/>
    <w:basedOn w:val="a"/>
    <w:uiPriority w:val="99"/>
    <w:semiHidden/>
    <w:pPr>
      <w:spacing w:before="100" w:beforeAutospacing="1" w:after="100" w:afterAutospacing="1"/>
    </w:pPr>
  </w:style>
  <w:style w:type="paragraph" w:customStyle="1" w:styleId="t1">
    <w:name w:val="t1"/>
    <w:basedOn w:val="a"/>
    <w:uiPriority w:val="99"/>
    <w:semiHidden/>
    <w:pPr>
      <w:spacing w:before="100" w:beforeAutospacing="1" w:after="100" w:afterAutospacing="1"/>
    </w:pPr>
  </w:style>
  <w:style w:type="paragraph" w:customStyle="1" w:styleId="t2">
    <w:name w:val="t2"/>
    <w:basedOn w:val="a"/>
    <w:uiPriority w:val="99"/>
    <w:semiHidden/>
    <w:pPr>
      <w:spacing w:before="100" w:beforeAutospacing="1" w:after="100" w:afterAutospacing="1"/>
    </w:pPr>
  </w:style>
  <w:style w:type="paragraph" w:customStyle="1" w:styleId="login01">
    <w:name w:val="login01"/>
    <w:basedOn w:val="a"/>
    <w:uiPriority w:val="99"/>
    <w:semiHidden/>
    <w:pPr>
      <w:spacing w:before="100" w:beforeAutospacing="1" w:after="100" w:afterAutospacing="1"/>
    </w:pPr>
  </w:style>
  <w:style w:type="paragraph" w:customStyle="1" w:styleId="login02">
    <w:name w:val="login02"/>
    <w:basedOn w:val="a"/>
    <w:uiPriority w:val="99"/>
    <w:semiHidden/>
    <w:pPr>
      <w:spacing w:before="100" w:beforeAutospacing="1" w:after="100" w:afterAutospacing="1"/>
    </w:pPr>
  </w:style>
  <w:style w:type="paragraph" w:customStyle="1" w:styleId="login03">
    <w:name w:val="login03"/>
    <w:basedOn w:val="a"/>
    <w:uiPriority w:val="99"/>
    <w:semiHidden/>
    <w:pPr>
      <w:spacing w:before="100" w:beforeAutospacing="1" w:after="100" w:afterAutospacing="1"/>
    </w:pPr>
  </w:style>
  <w:style w:type="paragraph" w:customStyle="1" w:styleId="shujili01">
    <w:name w:val="shujili01"/>
    <w:basedOn w:val="a"/>
    <w:uiPriority w:val="99"/>
    <w:semiHidden/>
    <w:pPr>
      <w:spacing w:before="100" w:beforeAutospacing="1" w:after="100" w:afterAutospacing="1"/>
    </w:pPr>
  </w:style>
  <w:style w:type="paragraph" w:customStyle="1" w:styleId="shujili02">
    <w:name w:val="shujili02"/>
    <w:basedOn w:val="a"/>
    <w:uiPriority w:val="99"/>
    <w:semiHidden/>
    <w:pPr>
      <w:spacing w:before="100" w:beforeAutospacing="1" w:after="100" w:afterAutospacing="1"/>
    </w:pPr>
  </w:style>
  <w:style w:type="paragraph" w:customStyle="1" w:styleId="zydzlia">
    <w:name w:val="zydzlia"/>
    <w:basedOn w:val="a"/>
    <w:uiPriority w:val="99"/>
    <w:semiHidden/>
    <w:pPr>
      <w:spacing w:before="100" w:beforeAutospacing="1" w:after="100" w:afterAutospacing="1"/>
    </w:pPr>
  </w:style>
  <w:style w:type="paragraph" w:customStyle="1" w:styleId="zydzlib">
    <w:name w:val="zydzlib"/>
    <w:basedOn w:val="a"/>
    <w:uiPriority w:val="99"/>
    <w:semiHidden/>
    <w:pPr>
      <w:spacing w:before="100" w:beforeAutospacing="1" w:after="100" w:afterAutospacing="1"/>
    </w:pPr>
  </w:style>
  <w:style w:type="paragraph" w:customStyle="1" w:styleId="login011">
    <w:name w:val="login011"/>
    <w:basedOn w:val="a"/>
    <w:uiPriority w:val="99"/>
    <w:semiHidden/>
    <w:pPr>
      <w:spacing w:before="100" w:beforeAutospacing="1" w:after="150" w:line="450" w:lineRule="atLeast"/>
      <w:jc w:val="right"/>
    </w:pPr>
    <w:rPr>
      <w:color w:val="6A9A36"/>
      <w:sz w:val="27"/>
      <w:szCs w:val="27"/>
    </w:rPr>
  </w:style>
  <w:style w:type="paragraph" w:customStyle="1" w:styleId="login021">
    <w:name w:val="login021"/>
    <w:basedOn w:val="a"/>
    <w:uiPriority w:val="99"/>
    <w:semiHidden/>
    <w:pPr>
      <w:spacing w:before="100" w:beforeAutospacing="1" w:after="150" w:line="450" w:lineRule="atLeast"/>
    </w:pPr>
    <w:rPr>
      <w:color w:val="6A9A36"/>
      <w:sz w:val="27"/>
      <w:szCs w:val="27"/>
    </w:rPr>
  </w:style>
  <w:style w:type="paragraph" w:customStyle="1" w:styleId="login031">
    <w:name w:val="login031"/>
    <w:basedOn w:val="a"/>
    <w:uiPriority w:val="99"/>
    <w:semiHidden/>
    <w:pPr>
      <w:spacing w:before="100" w:beforeAutospacing="1" w:after="150" w:line="450" w:lineRule="atLeast"/>
    </w:pPr>
    <w:rPr>
      <w:color w:val="6A9A36"/>
      <w:sz w:val="27"/>
      <w:szCs w:val="27"/>
    </w:rPr>
  </w:style>
  <w:style w:type="paragraph" w:customStyle="1" w:styleId="yanzheng1">
    <w:name w:val="yanzheng1"/>
    <w:basedOn w:val="a"/>
    <w:uiPriority w:val="99"/>
    <w:semiHidden/>
    <w:pPr>
      <w:spacing w:before="100" w:beforeAutospacing="1" w:after="100" w:afterAutospacing="1"/>
      <w:ind w:left="1350"/>
    </w:pPr>
    <w:rPr>
      <w:color w:val="666666"/>
      <w:sz w:val="18"/>
      <w:szCs w:val="18"/>
    </w:rPr>
  </w:style>
  <w:style w:type="paragraph" w:customStyle="1" w:styleId="yanzhengma1">
    <w:name w:val="yanzhengma1"/>
    <w:basedOn w:val="a"/>
    <w:uiPriority w:val="99"/>
    <w:semiHidden/>
    <w:pPr>
      <w:spacing w:before="100" w:beforeAutospacing="1" w:after="100" w:afterAutospacing="1"/>
      <w:ind w:left="1620"/>
    </w:pPr>
    <w:rPr>
      <w:color w:val="666666"/>
    </w:rPr>
  </w:style>
  <w:style w:type="paragraph" w:customStyle="1" w:styleId="inputbutt1">
    <w:name w:val="inputbutt1"/>
    <w:basedOn w:val="a"/>
    <w:uiPriority w:val="99"/>
    <w:semiHidden/>
    <w:pPr>
      <w:spacing w:before="100" w:beforeAutospacing="1" w:after="100" w:afterAutospacing="1"/>
      <w:ind w:left="-255"/>
    </w:pPr>
    <w:rPr>
      <w:b/>
      <w:bCs/>
      <w:color w:val="666666"/>
    </w:rPr>
  </w:style>
  <w:style w:type="paragraph" w:customStyle="1" w:styleId="biaoqianyun1">
    <w:name w:val="biaoqianyun1"/>
    <w:basedOn w:val="a"/>
    <w:uiPriority w:val="99"/>
    <w:semiHidden/>
    <w:pPr>
      <w:wordWrap w:val="0"/>
      <w:spacing w:before="75"/>
      <w:ind w:hanging="60"/>
    </w:pPr>
  </w:style>
  <w:style w:type="paragraph" w:customStyle="1" w:styleId="blue1">
    <w:name w:val="blue1"/>
    <w:basedOn w:val="a"/>
    <w:uiPriority w:val="99"/>
    <w:semiHidden/>
    <w:pPr>
      <w:spacing w:before="100" w:beforeAutospacing="1" w:after="100" w:afterAutospacing="1"/>
    </w:pPr>
    <w:rPr>
      <w:color w:val="598F1F"/>
    </w:rPr>
  </w:style>
  <w:style w:type="paragraph" w:customStyle="1" w:styleId="shujili011">
    <w:name w:val="shujili01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hujili021">
    <w:name w:val="shujili021"/>
    <w:basedOn w:val="a"/>
    <w:uiPriority w:val="99"/>
    <w:semiHidden/>
    <w:pPr>
      <w:spacing w:before="100" w:beforeAutospacing="1" w:after="100" w:afterAutospacing="1"/>
    </w:pPr>
  </w:style>
  <w:style w:type="paragraph" w:customStyle="1" w:styleId="shubiao1">
    <w:name w:val="shubiao1"/>
    <w:basedOn w:val="a"/>
    <w:uiPriority w:val="99"/>
    <w:semiHidden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zydzlia1">
    <w:name w:val="zydzlia1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zydzlib1">
    <w:name w:val="zydzlib1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  <w:sz w:val="21"/>
      <w:szCs w:val="21"/>
    </w:rPr>
  </w:style>
  <w:style w:type="paragraph" w:customStyle="1" w:styleId="bluebold1">
    <w:name w:val="bluebold1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11">
    <w:name w:val="t11"/>
    <w:basedOn w:val="a"/>
    <w:uiPriority w:val="99"/>
    <w:semiHidden/>
    <w:pPr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t21">
    <w:name w:val="t21"/>
    <w:basedOn w:val="a"/>
    <w:uiPriority w:val="99"/>
    <w:semiHidden/>
    <w:pPr>
      <w:spacing w:before="100" w:beforeAutospacing="1" w:after="100" w:afterAutospacing="1"/>
      <w:jc w:val="right"/>
    </w:pPr>
    <w:rPr>
      <w:rFonts w:ascii="微软雅黑" w:eastAsia="微软雅黑" w:hAnsi="微软雅黑"/>
    </w:rPr>
  </w:style>
  <w:style w:type="paragraph" w:customStyle="1" w:styleId="t12">
    <w:name w:val="t12"/>
    <w:basedOn w:val="a"/>
    <w:uiPriority w:val="99"/>
    <w:semiHidden/>
    <w:pPr>
      <w:spacing w:before="100" w:beforeAutospacing="1" w:after="100" w:afterAutospacing="1"/>
    </w:pPr>
  </w:style>
  <w:style w:type="paragraph" w:customStyle="1" w:styleId="t13">
    <w:name w:val="t13"/>
    <w:basedOn w:val="a"/>
    <w:uiPriority w:val="99"/>
    <w:semiHidden/>
    <w:pPr>
      <w:spacing w:before="100" w:beforeAutospacing="1" w:after="100" w:afterAutospacing="1"/>
    </w:pPr>
  </w:style>
  <w:style w:type="paragraph" w:customStyle="1" w:styleId="t14">
    <w:name w:val="t14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22">
    <w:name w:val="t2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15">
    <w:name w:val="t15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t16">
    <w:name w:val="t16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t17">
    <w:name w:val="t17"/>
    <w:basedOn w:val="a"/>
    <w:uiPriority w:val="99"/>
    <w:semiHidden/>
    <w:pPr>
      <w:spacing w:before="100" w:beforeAutospacing="1" w:after="100" w:afterAutospacing="1"/>
    </w:pPr>
  </w:style>
  <w:style w:type="paragraph" w:customStyle="1" w:styleId="t18">
    <w:name w:val="t18"/>
    <w:basedOn w:val="a"/>
    <w:uiPriority w:val="99"/>
    <w:semiHidden/>
    <w:pPr>
      <w:wordWrap w:val="0"/>
      <w:spacing w:before="100" w:beforeAutospacing="1" w:after="100" w:afterAutospacing="1"/>
    </w:pPr>
  </w:style>
  <w:style w:type="paragraph" w:customStyle="1" w:styleId="zw-topbg">
    <w:name w:val="zw-topbg"/>
    <w:basedOn w:val="a"/>
    <w:uiPriority w:val="99"/>
    <w:semiHidden/>
    <w:pPr>
      <w:spacing w:before="100" w:beforeAutospacing="1" w:after="100" w:afterAutospacing="1"/>
    </w:pPr>
  </w:style>
  <w:style w:type="paragraph" w:customStyle="1" w:styleId="zw-downbg">
    <w:name w:val="zw-downbg"/>
    <w:basedOn w:val="a"/>
    <w:uiPriority w:val="99"/>
    <w:semiHidden/>
    <w:pPr>
      <w:spacing w:before="100" w:beforeAutospacing="1" w:after="100" w:afterAutospacing="1"/>
    </w:pPr>
  </w:style>
  <w:style w:type="character" w:customStyle="1" w:styleId="chaptertitle">
    <w:name w:val="chaptertitle"/>
    <w:basedOn w:val="a0"/>
    <w:rPr>
      <w:rFonts w:ascii="微软雅黑" w:eastAsia="微软雅黑" w:hAnsi="微软雅黑" w:hint="eastAsia"/>
      <w:b/>
      <w:bCs/>
      <w:sz w:val="21"/>
      <w:szCs w:val="21"/>
    </w:rPr>
  </w:style>
  <w:style w:type="character" w:customStyle="1" w:styleId="metaname1">
    <w:name w:val="metaname1"/>
    <w:basedOn w:val="a0"/>
    <w:rPr>
      <w:rFonts w:ascii="微软雅黑" w:eastAsia="微软雅黑" w:hAnsi="微软雅黑" w:hint="eastAsi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扬</dc:creator>
  <cp:keywords/>
  <dc:description/>
  <cp:lastModifiedBy>张 扬</cp:lastModifiedBy>
  <cp:revision>2</cp:revision>
  <dcterms:created xsi:type="dcterms:W3CDTF">2019-04-11T05:43:00Z</dcterms:created>
  <dcterms:modified xsi:type="dcterms:W3CDTF">2019-04-11T05:43:00Z</dcterms:modified>
</cp:coreProperties>
</file>