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10"/>
        <w:rPr>
          <w:rFonts w:ascii="Times New Roman" w:hAnsi="Times New Roman" w:cs="Times New Roman" w:eastAsia="Times New Roman"/>
          <w:sz w:val="21"/>
          <w:szCs w:val="21"/>
        </w:rPr>
      </w:pPr>
    </w:p>
    <w:p>
      <w:pPr>
        <w:spacing w:line="573" w:lineRule="exact" w:before="0"/>
        <w:ind w:left="0" w:right="16" w:firstLine="0"/>
        <w:jc w:val="center"/>
        <w:rPr>
          <w:rFonts w:ascii="宋体" w:hAnsi="宋体" w:cs="宋体" w:eastAsia="宋体"/>
          <w:sz w:val="44"/>
          <w:szCs w:val="44"/>
        </w:rPr>
      </w:pPr>
      <w:r>
        <w:rPr>
          <w:rFonts w:ascii="宋体" w:hAnsi="宋体" w:cs="宋体" w:eastAsia="宋体"/>
          <w:b/>
          <w:bCs/>
          <w:spacing w:val="1"/>
          <w:sz w:val="44"/>
          <w:szCs w:val="44"/>
        </w:rPr>
        <w:t>中国注册会计师审计准则第</w:t>
      </w:r>
      <w:r>
        <w:rPr>
          <w:rFonts w:ascii="宋体" w:hAnsi="宋体" w:cs="宋体" w:eastAsia="宋体"/>
          <w:b/>
          <w:bCs/>
          <w:spacing w:val="-145"/>
          <w:sz w:val="44"/>
          <w:szCs w:val="44"/>
        </w:rPr>
        <w:t> </w:t>
      </w:r>
      <w:r>
        <w:rPr>
          <w:rFonts w:ascii="Times New Roman" w:hAnsi="Times New Roman" w:cs="Times New Roman" w:eastAsia="Times New Roman"/>
          <w:b/>
          <w:bCs/>
          <w:sz w:val="44"/>
          <w:szCs w:val="44"/>
        </w:rPr>
        <w:t>1401</w:t>
      </w:r>
      <w:r>
        <w:rPr>
          <w:rFonts w:ascii="Times New Roman" w:hAnsi="Times New Roman" w:cs="Times New Roman" w:eastAsia="Times New Roman"/>
          <w:b/>
          <w:bCs/>
          <w:spacing w:val="-46"/>
          <w:sz w:val="44"/>
          <w:szCs w:val="44"/>
        </w:rPr>
        <w:t> </w:t>
      </w:r>
      <w:r>
        <w:rPr>
          <w:rFonts w:ascii="宋体" w:hAnsi="宋体" w:cs="宋体" w:eastAsia="宋体"/>
          <w:b/>
          <w:bCs/>
          <w:sz w:val="44"/>
          <w:szCs w:val="44"/>
        </w:rPr>
        <w:t>号</w:t>
      </w:r>
      <w:r>
        <w:rPr>
          <w:rFonts w:ascii="宋体" w:hAnsi="宋体" w:cs="宋体" w:eastAsia="宋体"/>
          <w:sz w:val="44"/>
          <w:szCs w:val="44"/>
        </w:rPr>
      </w:r>
    </w:p>
    <w:p>
      <w:pPr>
        <w:spacing w:before="72"/>
        <w:ind w:left="0" w:right="25" w:firstLine="0"/>
        <w:jc w:val="center"/>
        <w:rPr>
          <w:rFonts w:ascii="宋体" w:hAnsi="宋体" w:cs="宋体" w:eastAsia="宋体"/>
          <w:sz w:val="44"/>
          <w:szCs w:val="44"/>
        </w:rPr>
      </w:pPr>
      <w:r>
        <w:rPr>
          <w:rFonts w:ascii="Times New Roman" w:hAnsi="Times New Roman" w:cs="Times New Roman" w:eastAsia="Times New Roman"/>
          <w:b/>
          <w:bCs/>
          <w:sz w:val="44"/>
          <w:szCs w:val="44"/>
        </w:rPr>
        <w:t>——</w:t>
      </w:r>
      <w:r>
        <w:rPr>
          <w:rFonts w:ascii="宋体" w:hAnsi="宋体" w:cs="宋体" w:eastAsia="宋体"/>
          <w:b/>
          <w:bCs/>
          <w:spacing w:val="1"/>
          <w:sz w:val="44"/>
          <w:szCs w:val="44"/>
        </w:rPr>
        <w:t>对集</w:t>
      </w:r>
      <w:r>
        <w:rPr>
          <w:rFonts w:ascii="宋体" w:hAnsi="宋体" w:cs="宋体" w:eastAsia="宋体"/>
          <w:b/>
          <w:bCs/>
          <w:spacing w:val="4"/>
          <w:sz w:val="44"/>
          <w:szCs w:val="44"/>
        </w:rPr>
        <w:t>团</w:t>
      </w:r>
      <w:r>
        <w:rPr>
          <w:rFonts w:ascii="宋体" w:hAnsi="宋体" w:cs="宋体" w:eastAsia="宋体"/>
          <w:b/>
          <w:bCs/>
          <w:spacing w:val="1"/>
          <w:sz w:val="44"/>
          <w:szCs w:val="44"/>
        </w:rPr>
        <w:t>财务报表审计的特殊考</w:t>
      </w:r>
      <w:r>
        <w:rPr>
          <w:rFonts w:ascii="宋体" w:hAnsi="宋体" w:cs="宋体" w:eastAsia="宋体"/>
          <w:b/>
          <w:bCs/>
          <w:sz w:val="44"/>
          <w:szCs w:val="44"/>
        </w:rPr>
        <w:t>虑</w:t>
      </w:r>
      <w:r>
        <w:rPr>
          <w:rFonts w:ascii="宋体" w:hAnsi="宋体" w:cs="宋体" w:eastAsia="宋体"/>
          <w:sz w:val="44"/>
          <w:szCs w:val="44"/>
        </w:rPr>
      </w:r>
    </w:p>
    <w:p>
      <w:pPr>
        <w:pStyle w:val="BodyText"/>
        <w:spacing w:line="240" w:lineRule="auto" w:before="257"/>
        <w:ind w:left="0" w:right="13" w:firstLine="0"/>
        <w:jc w:val="center"/>
      </w:pPr>
      <w:r>
        <w:rPr>
          <w:spacing w:val="-1"/>
        </w:rPr>
        <w:t>（</w:t>
      </w:r>
      <w:r>
        <w:rPr>
          <w:rFonts w:ascii="Times New Roman" w:hAnsi="Times New Roman" w:cs="Times New Roman" w:eastAsia="Times New Roman"/>
          <w:spacing w:val="-1"/>
        </w:rPr>
        <w:t>2019</w:t>
      </w:r>
      <w:r>
        <w:rPr>
          <w:rFonts w:ascii="Times New Roman" w:hAnsi="Times New Roman" w:cs="Times New Roman" w:eastAsia="Times New Roman"/>
          <w:spacing w:val="-16"/>
        </w:rPr>
        <w:t> </w:t>
      </w:r>
      <w:r>
        <w:rPr/>
        <w:t>年</w:t>
      </w:r>
      <w:r>
        <w:rPr>
          <w:spacing w:val="-68"/>
        </w:rPr>
        <w:t> </w:t>
      </w:r>
      <w:r>
        <w:rPr>
          <w:rFonts w:ascii="Times New Roman" w:hAnsi="Times New Roman" w:cs="Times New Roman" w:eastAsia="Times New Roman"/>
        </w:rPr>
        <w:t>2</w:t>
      </w:r>
      <w:r>
        <w:rPr>
          <w:rFonts w:ascii="Times New Roman" w:hAnsi="Times New Roman" w:cs="Times New Roman" w:eastAsia="Times New Roman"/>
          <w:spacing w:val="-16"/>
        </w:rPr>
        <w:t> </w:t>
      </w:r>
      <w:r>
        <w:rPr/>
        <w:t>月</w:t>
      </w:r>
      <w:r>
        <w:rPr>
          <w:spacing w:val="-71"/>
        </w:rPr>
        <w:t> </w:t>
      </w:r>
      <w:r>
        <w:rPr>
          <w:rFonts w:ascii="Times New Roman" w:hAnsi="Times New Roman" w:cs="Times New Roman" w:eastAsia="Times New Roman"/>
        </w:rPr>
        <w:t>20</w:t>
      </w:r>
      <w:r>
        <w:rPr>
          <w:rFonts w:ascii="Times New Roman" w:hAnsi="Times New Roman" w:cs="Times New Roman" w:eastAsia="Times New Roman"/>
          <w:spacing w:val="-16"/>
        </w:rPr>
        <w:t> </w:t>
      </w:r>
      <w:r>
        <w:rPr/>
        <w:t>日修订）</w:t>
      </w:r>
    </w:p>
    <w:p>
      <w:pPr>
        <w:spacing w:line="240" w:lineRule="auto" w:before="0"/>
        <w:rPr>
          <w:rFonts w:ascii="宋体" w:hAnsi="宋体" w:cs="宋体" w:eastAsia="宋体"/>
          <w:sz w:val="30"/>
          <w:szCs w:val="30"/>
        </w:rPr>
      </w:pPr>
    </w:p>
    <w:p>
      <w:pPr>
        <w:spacing w:line="240" w:lineRule="auto" w:before="11"/>
        <w:rPr>
          <w:rFonts w:ascii="宋体" w:hAnsi="宋体" w:cs="宋体" w:eastAsia="宋体"/>
          <w:sz w:val="40"/>
          <w:szCs w:val="40"/>
        </w:rPr>
      </w:pPr>
    </w:p>
    <w:p>
      <w:pPr>
        <w:pStyle w:val="Heading2"/>
        <w:spacing w:line="240" w:lineRule="auto"/>
        <w:ind w:right="15"/>
        <w:jc w:val="center"/>
      </w:pPr>
      <w:r>
        <w:rPr/>
        <w:t>第一章</w:t>
      </w:r>
      <w:r>
        <w:rPr>
          <w:spacing w:val="-8"/>
        </w:rPr>
        <w:t> </w:t>
      </w:r>
      <w:r>
        <w:rPr/>
        <w:t>总</w:t>
      </w:r>
      <w:r>
        <w:rPr>
          <w:spacing w:val="-7"/>
        </w:rPr>
        <w:t> </w:t>
      </w:r>
      <w:r>
        <w:rPr/>
        <w:t>则</w:t>
      </w:r>
      <w:r>
        <w:rPr/>
      </w:r>
    </w:p>
    <w:p>
      <w:pPr>
        <w:spacing w:line="240" w:lineRule="auto" w:before="0"/>
        <w:rPr>
          <w:rFonts w:ascii="黑体" w:hAnsi="黑体" w:cs="黑体" w:eastAsia="黑体"/>
          <w:sz w:val="32"/>
          <w:szCs w:val="32"/>
        </w:rPr>
      </w:pPr>
    </w:p>
    <w:p>
      <w:pPr>
        <w:spacing w:line="240" w:lineRule="auto" w:before="0"/>
        <w:rPr>
          <w:rFonts w:ascii="黑体" w:hAnsi="黑体" w:cs="黑体" w:eastAsia="黑体"/>
          <w:sz w:val="25"/>
          <w:szCs w:val="25"/>
        </w:rPr>
      </w:pPr>
    </w:p>
    <w:p>
      <w:pPr>
        <w:pStyle w:val="BodyText"/>
        <w:spacing w:line="367" w:lineRule="auto" w:before="0"/>
        <w:ind w:right="131"/>
        <w:jc w:val="both"/>
      </w:pPr>
      <w:r>
        <w:rPr>
          <w:rFonts w:ascii="黑体" w:hAnsi="黑体" w:cs="黑体" w:eastAsia="黑体"/>
        </w:rPr>
        <w:t>第一条</w:t>
      </w:r>
      <w:r>
        <w:rPr>
          <w:rFonts w:ascii="黑体" w:hAnsi="黑体" w:cs="黑体" w:eastAsia="黑体"/>
          <w:spacing w:val="85"/>
        </w:rPr>
        <w:t> </w:t>
      </w:r>
      <w:r>
        <w:rPr/>
        <w:t>为了规范注册会计师执行集团审计时的特殊考虑，特别是</w:t>
      </w:r>
      <w:r>
        <w:rPr/>
        <w:t> </w:t>
      </w:r>
      <w:r>
        <w:rPr>
          <w:spacing w:val="-1"/>
        </w:rPr>
        <w:t>涉及组成部分注册会计师的特殊考虑，制定本准则。</w:t>
      </w:r>
    </w:p>
    <w:p>
      <w:pPr>
        <w:pStyle w:val="BodyText"/>
        <w:spacing w:line="366" w:lineRule="auto" w:before="43"/>
        <w:ind w:right="131"/>
        <w:jc w:val="both"/>
      </w:pPr>
      <w:r>
        <w:rPr>
          <w:rFonts w:ascii="黑体" w:hAnsi="黑体" w:cs="黑体" w:eastAsia="黑体"/>
        </w:rPr>
        <w:t>第二条</w:t>
      </w:r>
      <w:r>
        <w:rPr>
          <w:rFonts w:ascii="黑体" w:hAnsi="黑体" w:cs="黑体" w:eastAsia="黑体"/>
          <w:spacing w:val="85"/>
        </w:rPr>
        <w:t> </w:t>
      </w:r>
      <w:r>
        <w:rPr/>
        <w:t>本准则规范集团审计的特定方面，其他审计准则同样适用</w:t>
      </w:r>
      <w:r>
        <w:rPr/>
        <w:t> </w:t>
      </w:r>
      <w:r>
        <w:rPr>
          <w:spacing w:val="-1"/>
        </w:rPr>
        <w:t>于集团审计。</w:t>
      </w:r>
    </w:p>
    <w:p>
      <w:pPr>
        <w:pStyle w:val="BodyText"/>
        <w:tabs>
          <w:tab w:pos="1795" w:val="left" w:leader="none"/>
        </w:tabs>
        <w:spacing w:line="240" w:lineRule="auto" w:before="48"/>
        <w:ind w:left="677" w:right="0" w:firstLine="0"/>
        <w:jc w:val="left"/>
      </w:pPr>
      <w:r>
        <w:rPr>
          <w:rFonts w:ascii="黑体" w:hAnsi="黑体" w:cs="黑体" w:eastAsia="黑体"/>
          <w:spacing w:val="6"/>
        </w:rPr>
        <w:t>第三条</w:t>
        <w:tab/>
      </w:r>
      <w:r>
        <w:rPr>
          <w:spacing w:val="9"/>
        </w:rPr>
        <w:t>在执行非集团审计时，如果利用其他注册会计师的工作</w:t>
      </w:r>
    </w:p>
    <w:p>
      <w:pPr>
        <w:pStyle w:val="BodyText"/>
        <w:spacing w:line="366" w:lineRule="auto"/>
        <w:ind w:right="128" w:firstLine="0"/>
        <w:jc w:val="both"/>
      </w:pPr>
      <w:r>
        <w:rPr>
          <w:spacing w:val="7"/>
        </w:rPr>
        <w:t>（如委托其他注册会计师对存放在偏远地点的存货实施监盘或对存放</w:t>
      </w:r>
      <w:r>
        <w:rPr>
          <w:spacing w:val="29"/>
        </w:rPr>
        <w:t> </w:t>
      </w:r>
      <w:r>
        <w:rPr>
          <w:spacing w:val="2"/>
        </w:rPr>
        <w:t>在偏</w:t>
      </w:r>
      <w:r>
        <w:rPr>
          <w:spacing w:val="4"/>
        </w:rPr>
        <w:t>远</w:t>
      </w:r>
      <w:r>
        <w:rPr>
          <w:spacing w:val="2"/>
        </w:rPr>
        <w:t>地点的固定资产</w:t>
      </w:r>
      <w:r>
        <w:rPr>
          <w:spacing w:val="4"/>
        </w:rPr>
        <w:t>实</w:t>
      </w:r>
      <w:r>
        <w:rPr>
          <w:spacing w:val="2"/>
        </w:rPr>
        <w:t>施检</w:t>
      </w:r>
      <w:r>
        <w:rPr>
          <w:spacing w:val="5"/>
        </w:rPr>
        <w:t>查</w:t>
      </w:r>
      <w:r>
        <w:rPr>
          <w:spacing w:val="-137"/>
        </w:rPr>
        <w:t>）</w:t>
      </w:r>
      <w:r>
        <w:rPr>
          <w:spacing w:val="2"/>
        </w:rPr>
        <w:t>，注册会</w:t>
      </w:r>
      <w:r>
        <w:rPr>
          <w:spacing w:val="4"/>
        </w:rPr>
        <w:t>计</w:t>
      </w:r>
      <w:r>
        <w:rPr>
          <w:spacing w:val="3"/>
        </w:rPr>
        <w:t>师</w:t>
      </w:r>
      <w:r>
        <w:rPr>
          <w:spacing w:val="2"/>
        </w:rPr>
        <w:t>可以根据具体</w:t>
      </w:r>
      <w:r>
        <w:rPr>
          <w:spacing w:val="4"/>
        </w:rPr>
        <w:t>情</w:t>
      </w:r>
      <w:r>
        <w:rPr>
          <w:spacing w:val="3"/>
        </w:rPr>
        <w:t>况</w:t>
      </w:r>
      <w:r>
        <w:rPr>
          <w:spacing w:val="2"/>
        </w:rPr>
        <w:t>遵守</w:t>
      </w:r>
      <w:r>
        <w:rPr>
          <w:spacing w:val="2"/>
        </w:rPr>
        <w:t> </w:t>
      </w:r>
      <w:r>
        <w:rPr>
          <w:spacing w:val="-1"/>
        </w:rPr>
        <w:t>本准则的相关规定。</w:t>
      </w:r>
    </w:p>
    <w:p>
      <w:pPr>
        <w:pStyle w:val="BodyText"/>
        <w:spacing w:line="366" w:lineRule="auto" w:before="44"/>
        <w:ind w:right="116"/>
        <w:jc w:val="both"/>
      </w:pPr>
      <w:r>
        <w:rPr>
          <w:rFonts w:ascii="黑体" w:hAnsi="黑体" w:cs="黑体" w:eastAsia="黑体"/>
        </w:rPr>
        <w:t>第四条</w:t>
      </w:r>
      <w:r>
        <w:rPr>
          <w:rFonts w:ascii="黑体" w:hAnsi="黑体" w:cs="黑体" w:eastAsia="黑体"/>
          <w:spacing w:val="85"/>
        </w:rPr>
        <w:t> </w:t>
      </w:r>
      <w:r>
        <w:rPr/>
        <w:t>因法律法规要求或其他原因，组成部分注册会计师可能需</w:t>
      </w:r>
      <w:r>
        <w:rPr/>
        <w:t> </w:t>
      </w:r>
      <w:r>
        <w:rPr>
          <w:spacing w:val="7"/>
        </w:rPr>
        <w:t>要对组成部分财务报表发表审计意见。集团项目组可以决定利用组成</w:t>
      </w:r>
      <w:r>
        <w:rPr>
          <w:spacing w:val="57"/>
        </w:rPr>
        <w:t> </w:t>
      </w:r>
      <w:r>
        <w:rPr>
          <w:spacing w:val="16"/>
        </w:rPr>
        <w:t>部分注册会计师对组成部分财务报表发表审计意见所依据的审计证</w:t>
      </w:r>
      <w:r>
        <w:rPr>
          <w:spacing w:val="54"/>
        </w:rPr>
        <w:t> </w:t>
      </w:r>
      <w:r>
        <w:rPr>
          <w:spacing w:val="-1"/>
        </w:rPr>
        <w:t>据，作为集团审计的审计证据，但仍需要遵守本准则的规定。</w:t>
      </w:r>
    </w:p>
    <w:p>
      <w:pPr>
        <w:pStyle w:val="BodyText"/>
        <w:spacing w:line="347" w:lineRule="auto" w:before="44"/>
        <w:ind w:right="127"/>
        <w:jc w:val="both"/>
      </w:pPr>
      <w:r>
        <w:rPr>
          <w:rFonts w:ascii="黑体" w:hAnsi="黑体" w:cs="黑体" w:eastAsia="黑体"/>
          <w:spacing w:val="1"/>
        </w:rPr>
        <w:t>第五条</w:t>
      </w:r>
      <w:r>
        <w:rPr>
          <w:rFonts w:ascii="黑体" w:hAnsi="黑体" w:cs="黑体" w:eastAsia="黑体"/>
          <w:spacing w:val="88"/>
        </w:rPr>
        <w:t> </w:t>
      </w:r>
      <w:r>
        <w:rPr>
          <w:spacing w:val="1"/>
        </w:rPr>
        <w:t>按照《中国注册会计师审计准则第</w:t>
      </w:r>
      <w:r>
        <w:rPr>
          <w:spacing w:val="4"/>
        </w:rPr>
        <w:t> </w:t>
      </w:r>
      <w:r>
        <w:rPr>
          <w:rFonts w:ascii="Times New Roman" w:hAnsi="Times New Roman" w:cs="Times New Roman" w:eastAsia="Times New Roman"/>
          <w:spacing w:val="-4"/>
        </w:rPr>
        <w:t>1121</w:t>
      </w:r>
      <w:r>
        <w:rPr>
          <w:rFonts w:ascii="Times New Roman" w:hAnsi="Times New Roman" w:cs="Times New Roman" w:eastAsia="Times New Roman"/>
          <w:spacing w:val="43"/>
        </w:rPr>
        <w:t> </w:t>
      </w:r>
      <w:r>
        <w:rPr>
          <w:spacing w:val="1"/>
        </w:rPr>
        <w:t>号</w:t>
      </w:r>
      <w:r>
        <w:rPr>
          <w:rFonts w:ascii="Times New Roman" w:hAnsi="Times New Roman" w:cs="Times New Roman" w:eastAsia="Times New Roman"/>
          <w:spacing w:val="1"/>
        </w:rPr>
        <w:t>——</w:t>
      </w:r>
      <w:r>
        <w:rPr>
          <w:spacing w:val="1"/>
        </w:rPr>
        <w:t>对财务报</w:t>
      </w:r>
      <w:r>
        <w:rPr>
          <w:spacing w:val="29"/>
        </w:rPr>
        <w:t> </w:t>
      </w:r>
      <w:r>
        <w:rPr>
          <w:spacing w:val="7"/>
        </w:rPr>
        <w:t>表审计实施的质量控制》的规定，集团项目合伙人应当确信执行集团</w:t>
      </w:r>
    </w:p>
    <w:p>
      <w:pPr>
        <w:spacing w:after="0" w:line="347" w:lineRule="auto"/>
        <w:jc w:val="both"/>
        <w:sectPr>
          <w:footerReference w:type="default" r:id="rId5"/>
          <w:type w:val="continuous"/>
          <w:pgSz w:w="12240" w:h="15840"/>
          <w:pgMar w:footer="706" w:top="1500" w:bottom="900" w:left="1680" w:right="1660"/>
          <w:pgNumType w:start="1"/>
        </w:sectPr>
      </w:pPr>
    </w:p>
    <w:p>
      <w:pPr>
        <w:pStyle w:val="BodyText"/>
        <w:spacing w:line="366" w:lineRule="auto" w:before="62"/>
        <w:ind w:right="112" w:firstLine="0"/>
        <w:jc w:val="left"/>
      </w:pPr>
      <w:r>
        <w:rPr>
          <w:spacing w:val="7"/>
        </w:rPr>
        <w:t>审计业务的人员（包括组成部分注册会计师）从整体上具备适当的胜</w:t>
      </w:r>
      <w:r>
        <w:rPr>
          <w:spacing w:val="22"/>
        </w:rPr>
        <w:t> </w:t>
      </w:r>
      <w:r>
        <w:rPr>
          <w:spacing w:val="-2"/>
        </w:rPr>
        <w:t>任能力和必要素质。</w:t>
      </w:r>
      <w:r>
        <w:rPr/>
      </w:r>
    </w:p>
    <w:p>
      <w:pPr>
        <w:pStyle w:val="BodyText"/>
        <w:spacing w:line="366" w:lineRule="auto" w:before="48"/>
        <w:ind w:right="114"/>
        <w:jc w:val="both"/>
      </w:pPr>
      <w:r>
        <w:rPr>
          <w:spacing w:val="7"/>
        </w:rPr>
        <w:t>集团项目合伙人还需要对指导、监督和执行集团审计业务承担责</w:t>
      </w:r>
      <w:r>
        <w:rPr>
          <w:spacing w:val="46"/>
        </w:rPr>
        <w:t> </w:t>
      </w:r>
      <w:r>
        <w:rPr/>
        <w:t>任。</w:t>
      </w:r>
    </w:p>
    <w:p>
      <w:pPr>
        <w:pStyle w:val="BodyText"/>
        <w:spacing w:line="360" w:lineRule="auto" w:before="45"/>
        <w:ind w:right="108"/>
        <w:jc w:val="both"/>
      </w:pPr>
      <w:r>
        <w:rPr>
          <w:rFonts w:ascii="黑体" w:hAnsi="黑体" w:cs="黑体" w:eastAsia="黑体"/>
        </w:rPr>
        <w:t>第六条</w:t>
      </w:r>
      <w:r>
        <w:rPr>
          <w:rFonts w:ascii="黑体" w:hAnsi="黑体" w:cs="黑体" w:eastAsia="黑体"/>
          <w:spacing w:val="85"/>
        </w:rPr>
        <w:t> </w:t>
      </w:r>
      <w:r>
        <w:rPr/>
        <w:t>无论是集团项目组还是组成部分注册会计师对组成部分财</w:t>
      </w:r>
      <w:r>
        <w:rPr/>
        <w:t> </w:t>
      </w:r>
      <w:r>
        <w:rPr>
          <w:spacing w:val="7"/>
        </w:rPr>
        <w:t>务信息执行相关工作，集团项目合伙人都需要遵守《中国注册会计师</w:t>
      </w:r>
      <w:r>
        <w:rPr>
          <w:spacing w:val="22"/>
        </w:rPr>
        <w:t> </w:t>
      </w:r>
      <w:r>
        <w:rPr>
          <w:spacing w:val="7"/>
        </w:rPr>
        <w:t>审计准则第</w:t>
      </w:r>
      <w:r>
        <w:rPr>
          <w:spacing w:val="12"/>
        </w:rPr>
        <w:t> </w:t>
      </w:r>
      <w:r>
        <w:rPr>
          <w:rFonts w:ascii="Times New Roman" w:hAnsi="Times New Roman" w:cs="Times New Roman" w:eastAsia="Times New Roman"/>
          <w:spacing w:val="-4"/>
        </w:rPr>
        <w:t>1121</w:t>
      </w:r>
      <w:r>
        <w:rPr>
          <w:rFonts w:ascii="Times New Roman" w:hAnsi="Times New Roman" w:cs="Times New Roman" w:eastAsia="Times New Roman"/>
          <w:spacing w:val="51"/>
        </w:rPr>
        <w:t> </w:t>
      </w:r>
      <w:r>
        <w:rPr>
          <w:spacing w:val="8"/>
        </w:rPr>
        <w:t>号</w:t>
      </w:r>
      <w:r>
        <w:rPr>
          <w:rFonts w:ascii="Times New Roman" w:hAnsi="Times New Roman" w:cs="Times New Roman" w:eastAsia="Times New Roman"/>
          <w:spacing w:val="8"/>
        </w:rPr>
        <w:t>——</w:t>
      </w:r>
      <w:r>
        <w:rPr>
          <w:spacing w:val="8"/>
        </w:rPr>
        <w:t>对财务报表审计实施的质量控制》的相关规</w:t>
      </w:r>
      <w:r>
        <w:rPr>
          <w:spacing w:val="52"/>
        </w:rPr>
        <w:t> </w:t>
      </w:r>
      <w:r>
        <w:rPr>
          <w:spacing w:val="-1"/>
        </w:rPr>
        <w:t>定。</w:t>
      </w:r>
    </w:p>
    <w:p>
      <w:pPr>
        <w:pStyle w:val="BodyText"/>
        <w:spacing w:line="366" w:lineRule="auto" w:before="55"/>
        <w:ind w:right="110"/>
        <w:jc w:val="both"/>
      </w:pPr>
      <w:r>
        <w:rPr>
          <w:spacing w:val="7"/>
        </w:rPr>
        <w:t>当组成部分注册会计师对组成部分财务信息执行相关工作时，本</w:t>
      </w:r>
      <w:r>
        <w:rPr>
          <w:spacing w:val="52"/>
        </w:rPr>
        <w:t> </w:t>
      </w:r>
      <w:r>
        <w:rPr>
          <w:spacing w:val="6"/>
        </w:rPr>
        <w:t>准则有助于集团项目合伙人满足《中国注册会计师审计准则第</w:t>
      </w:r>
      <w:r>
        <w:rPr>
          <w:rFonts w:ascii="Times New Roman" w:hAnsi="Times New Roman" w:cs="Times New Roman" w:eastAsia="Times New Roman"/>
          <w:spacing w:val="6"/>
        </w:rPr>
        <w:t>1121</w:t>
      </w:r>
      <w:r>
        <w:rPr>
          <w:spacing w:val="6"/>
        </w:rPr>
        <w:t>号</w:t>
      </w:r>
    </w:p>
    <w:p>
      <w:pPr>
        <w:pStyle w:val="BodyText"/>
        <w:spacing w:line="240" w:lineRule="auto" w:before="8"/>
        <w:ind w:right="0" w:firstLine="0"/>
        <w:jc w:val="left"/>
      </w:pPr>
      <w:r>
        <w:rPr>
          <w:rFonts w:ascii="Times New Roman" w:hAnsi="Times New Roman" w:cs="Times New Roman" w:eastAsia="Times New Roman"/>
          <w:spacing w:val="-1"/>
        </w:rPr>
        <w:t>——</w:t>
      </w:r>
      <w:r>
        <w:rPr>
          <w:spacing w:val="-1"/>
        </w:rPr>
        <w:t>对财务报表审计实施的质量控制》的要求。</w:t>
      </w:r>
    </w:p>
    <w:p>
      <w:pPr>
        <w:pStyle w:val="BodyText"/>
        <w:spacing w:line="366" w:lineRule="auto" w:before="174"/>
        <w:ind w:right="104"/>
        <w:jc w:val="both"/>
      </w:pPr>
      <w:r>
        <w:rPr>
          <w:rFonts w:ascii="黑体" w:hAnsi="黑体" w:cs="黑体" w:eastAsia="黑体"/>
          <w:spacing w:val="6"/>
        </w:rPr>
        <w:t>第七条</w:t>
      </w:r>
      <w:r>
        <w:rPr>
          <w:rFonts w:ascii="黑体" w:hAnsi="黑体" w:cs="黑体" w:eastAsia="黑体"/>
          <w:spacing w:val="116"/>
        </w:rPr>
        <w:t> </w:t>
      </w:r>
      <w:r>
        <w:rPr>
          <w:spacing w:val="9"/>
        </w:rPr>
        <w:t>审计风险取决于重大错报风险和检查风险。在集团审计</w:t>
      </w:r>
      <w:r>
        <w:rPr>
          <w:spacing w:val="35"/>
        </w:rPr>
        <w:t> </w:t>
      </w:r>
      <w:r>
        <w:rPr>
          <w:spacing w:val="7"/>
        </w:rPr>
        <w:t>中，审计风险包括组成部分注册会计师可能没有发现组成部分财务信</w:t>
      </w:r>
      <w:r>
        <w:rPr>
          <w:spacing w:val="29"/>
        </w:rPr>
        <w:t> </w:t>
      </w:r>
      <w:r>
        <w:rPr>
          <w:spacing w:val="7"/>
        </w:rPr>
        <w:t>息存在的错报（该错报导致集团财务报表发生重大错报）的风险，以</w:t>
      </w:r>
      <w:r>
        <w:rPr>
          <w:spacing w:val="30"/>
        </w:rPr>
        <w:t> </w:t>
      </w:r>
      <w:r>
        <w:rPr>
          <w:spacing w:val="-1"/>
        </w:rPr>
        <w:t>及集团项目组可能没有发现该错报的风险。</w:t>
      </w:r>
    </w:p>
    <w:p>
      <w:pPr>
        <w:pStyle w:val="BodyText"/>
        <w:spacing w:line="366" w:lineRule="auto" w:before="44"/>
        <w:ind w:right="107"/>
        <w:jc w:val="both"/>
      </w:pPr>
      <w:r>
        <w:rPr>
          <w:spacing w:val="7"/>
        </w:rPr>
        <w:t>本准则规定了在组成部分注册会计师对组成部分财务信息实施风</w:t>
      </w:r>
      <w:r>
        <w:rPr>
          <w:spacing w:val="44"/>
        </w:rPr>
        <w:t> </w:t>
      </w:r>
      <w:r>
        <w:rPr>
          <w:spacing w:val="7"/>
        </w:rPr>
        <w:t>险评估程序和进一步审计程序时，集团项目组在确定参与组成部分注</w:t>
      </w:r>
      <w:r>
        <w:rPr>
          <w:spacing w:val="30"/>
        </w:rPr>
        <w:t> </w:t>
      </w:r>
      <w:r>
        <w:rPr>
          <w:spacing w:val="7"/>
        </w:rPr>
        <w:t>册会计师工作的性质、时间安排和范围时需要考虑的事项。集团项目</w:t>
      </w:r>
      <w:r>
        <w:rPr>
          <w:spacing w:val="30"/>
        </w:rPr>
        <w:t> </w:t>
      </w:r>
      <w:r>
        <w:rPr>
          <w:spacing w:val="7"/>
        </w:rPr>
        <w:t>组参与组成部分注册会计师工作的目的是为了获取充分、适当的审计</w:t>
      </w:r>
      <w:r>
        <w:rPr>
          <w:spacing w:val="26"/>
        </w:rPr>
        <w:t> </w:t>
      </w:r>
      <w:r>
        <w:rPr>
          <w:spacing w:val="-1"/>
        </w:rPr>
        <w:t>证据，以作为形成集团财务报表审计意见的基础。</w:t>
      </w:r>
    </w:p>
    <w:p>
      <w:pPr>
        <w:spacing w:line="240" w:lineRule="auto" w:before="0"/>
        <w:rPr>
          <w:rFonts w:ascii="宋体" w:hAnsi="宋体" w:cs="宋体" w:eastAsia="宋体"/>
          <w:sz w:val="28"/>
          <w:szCs w:val="28"/>
        </w:rPr>
      </w:pPr>
    </w:p>
    <w:p>
      <w:pPr>
        <w:spacing w:line="240" w:lineRule="auto" w:before="12"/>
        <w:rPr>
          <w:rFonts w:ascii="宋体" w:hAnsi="宋体" w:cs="宋体" w:eastAsia="宋体"/>
          <w:sz w:val="23"/>
          <w:szCs w:val="23"/>
        </w:rPr>
      </w:pPr>
    </w:p>
    <w:p>
      <w:pPr>
        <w:pStyle w:val="Heading2"/>
        <w:tabs>
          <w:tab w:pos="1281" w:val="left" w:leader="none"/>
          <w:tab w:pos="1920" w:val="left" w:leader="none"/>
        </w:tabs>
        <w:spacing w:line="240" w:lineRule="auto"/>
        <w:ind w:left="2" w:right="0"/>
        <w:jc w:val="center"/>
      </w:pPr>
      <w:r>
        <w:rPr>
          <w:w w:val="95"/>
        </w:rPr>
        <w:t>第二章</w:t>
        <w:tab/>
        <w:t>定</w:t>
        <w:tab/>
      </w:r>
      <w:r>
        <w:rPr/>
        <w:t>义</w:t>
      </w:r>
      <w:r>
        <w:rPr/>
      </w:r>
    </w:p>
    <w:p>
      <w:pPr>
        <w:spacing w:after="0" w:line="240" w:lineRule="auto"/>
        <w:jc w:val="center"/>
        <w:sectPr>
          <w:pgSz w:w="12240" w:h="15840"/>
          <w:pgMar w:header="0" w:footer="706" w:top="1500" w:bottom="900" w:left="1680" w:right="1680"/>
        </w:sectPr>
      </w:pPr>
    </w:p>
    <w:p>
      <w:pPr>
        <w:spacing w:line="240" w:lineRule="auto" w:before="0"/>
        <w:rPr>
          <w:rFonts w:ascii="黑体" w:hAnsi="黑体" w:cs="黑体" w:eastAsia="黑体"/>
          <w:sz w:val="20"/>
          <w:szCs w:val="20"/>
        </w:rPr>
      </w:pPr>
    </w:p>
    <w:p>
      <w:pPr>
        <w:spacing w:line="240" w:lineRule="auto" w:before="7"/>
        <w:rPr>
          <w:rFonts w:ascii="黑体" w:hAnsi="黑体" w:cs="黑体" w:eastAsia="黑体"/>
          <w:sz w:val="29"/>
          <w:szCs w:val="29"/>
        </w:rPr>
      </w:pPr>
    </w:p>
    <w:p>
      <w:pPr>
        <w:pStyle w:val="BodyText"/>
        <w:spacing w:line="366" w:lineRule="auto" w:before="14"/>
        <w:ind w:right="111"/>
        <w:jc w:val="both"/>
      </w:pPr>
      <w:r>
        <w:rPr>
          <w:rFonts w:ascii="黑体" w:hAnsi="黑体" w:cs="黑体" w:eastAsia="黑体"/>
        </w:rPr>
        <w:t>第八条</w:t>
      </w:r>
      <w:r>
        <w:rPr>
          <w:rFonts w:ascii="黑体" w:hAnsi="黑体" w:cs="黑体" w:eastAsia="黑体"/>
          <w:spacing w:val="85"/>
        </w:rPr>
        <w:t> </w:t>
      </w:r>
      <w:r>
        <w:rPr/>
        <w:t>集团，是指由所有组成部分构成的整体，并且所有组成部</w:t>
      </w:r>
      <w:r>
        <w:rPr/>
        <w:t> </w:t>
      </w:r>
      <w:r>
        <w:rPr>
          <w:spacing w:val="7"/>
        </w:rPr>
        <w:t>分的财务信息包括在集团财务报表中。集团至少拥有一个以上的组成</w:t>
      </w:r>
      <w:r>
        <w:rPr>
          <w:spacing w:val="29"/>
        </w:rPr>
        <w:t> </w:t>
      </w:r>
      <w:r>
        <w:rPr/>
        <w:t>部分。</w:t>
      </w:r>
    </w:p>
    <w:p>
      <w:pPr>
        <w:pStyle w:val="BodyText"/>
        <w:spacing w:line="367" w:lineRule="auto" w:before="44"/>
        <w:ind w:right="112"/>
        <w:jc w:val="both"/>
      </w:pPr>
      <w:r>
        <w:rPr>
          <w:rFonts w:ascii="黑体" w:hAnsi="黑体" w:cs="黑体" w:eastAsia="黑体"/>
        </w:rPr>
        <w:t>第九条</w:t>
      </w:r>
      <w:r>
        <w:rPr>
          <w:rFonts w:ascii="黑体" w:hAnsi="黑体" w:cs="黑体" w:eastAsia="黑体"/>
          <w:spacing w:val="85"/>
        </w:rPr>
        <w:t> </w:t>
      </w:r>
      <w:r>
        <w:rPr/>
        <w:t>集团财务报表，是指包括一个以上组成部分财务信息的财</w:t>
      </w:r>
      <w:r>
        <w:rPr/>
        <w:t> </w:t>
      </w:r>
      <w:r>
        <w:rPr>
          <w:spacing w:val="7"/>
        </w:rPr>
        <w:t>务报表。集团财务报表也指没有母公司但处在同一控制下的各组成部</w:t>
      </w:r>
      <w:r>
        <w:rPr>
          <w:spacing w:val="29"/>
        </w:rPr>
        <w:t> </w:t>
      </w:r>
      <w:r>
        <w:rPr>
          <w:spacing w:val="-1"/>
        </w:rPr>
        <w:t>分编制的财务信息所汇总生成的财务报表。</w:t>
      </w:r>
    </w:p>
    <w:p>
      <w:pPr>
        <w:pStyle w:val="BodyText"/>
        <w:spacing w:line="366" w:lineRule="auto" w:before="44"/>
        <w:ind w:right="111"/>
        <w:jc w:val="both"/>
      </w:pPr>
      <w:r>
        <w:rPr>
          <w:rFonts w:ascii="黑体" w:hAnsi="黑体" w:cs="黑体" w:eastAsia="黑体"/>
        </w:rPr>
        <w:t>第十条</w:t>
      </w:r>
      <w:r>
        <w:rPr>
          <w:rFonts w:ascii="黑体" w:hAnsi="黑体" w:cs="黑体" w:eastAsia="黑体"/>
          <w:spacing w:val="85"/>
        </w:rPr>
        <w:t> </w:t>
      </w:r>
      <w:r>
        <w:rPr/>
        <w:t>本准则所称适用的财务报告编制基础，是指适用于集团财</w:t>
      </w:r>
      <w:r>
        <w:rPr/>
        <w:t> </w:t>
      </w:r>
      <w:r>
        <w:rPr>
          <w:spacing w:val="-1"/>
        </w:rPr>
        <w:t>务报表的财务报告编制基础。</w:t>
      </w:r>
    </w:p>
    <w:p>
      <w:pPr>
        <w:pStyle w:val="BodyText"/>
        <w:spacing w:line="240" w:lineRule="auto" w:before="48"/>
        <w:ind w:left="677" w:right="0" w:firstLine="0"/>
        <w:jc w:val="left"/>
      </w:pPr>
      <w:r>
        <w:rPr>
          <w:rFonts w:ascii="黑体" w:hAnsi="黑体" w:cs="黑体" w:eastAsia="黑体"/>
        </w:rPr>
        <w:t>第十一条</w:t>
      </w:r>
      <w:r>
        <w:rPr>
          <w:rFonts w:ascii="黑体" w:hAnsi="黑体" w:cs="黑体" w:eastAsia="黑体"/>
          <w:spacing w:val="-4"/>
        </w:rPr>
        <w:t> </w:t>
      </w:r>
      <w:r>
        <w:rPr>
          <w:spacing w:val="-1"/>
        </w:rPr>
        <w:t>集团管理层，是指负责编制集团财务报表的管理层。</w:t>
      </w:r>
    </w:p>
    <w:p>
      <w:pPr>
        <w:pStyle w:val="BodyText"/>
        <w:spacing w:line="366" w:lineRule="auto"/>
        <w:ind w:right="112"/>
        <w:jc w:val="both"/>
      </w:pPr>
      <w:r>
        <w:rPr>
          <w:rFonts w:ascii="黑体" w:hAnsi="黑体" w:cs="黑体" w:eastAsia="黑体"/>
        </w:rPr>
        <w:t>第十二条</w:t>
      </w:r>
      <w:r>
        <w:rPr>
          <w:rFonts w:ascii="黑体" w:hAnsi="黑体" w:cs="黑体" w:eastAsia="黑体"/>
          <w:spacing w:val="85"/>
        </w:rPr>
        <w:t> </w:t>
      </w:r>
      <w:r>
        <w:rPr/>
        <w:t>集团层面控制，是指集团管理层设计、执行和维护的与</w:t>
      </w:r>
      <w:r>
        <w:rPr/>
        <w:t> </w:t>
      </w:r>
      <w:r>
        <w:rPr>
          <w:spacing w:val="-1"/>
        </w:rPr>
        <w:t>集团财务报告相关的控制。</w:t>
      </w:r>
    </w:p>
    <w:p>
      <w:pPr>
        <w:pStyle w:val="BodyText"/>
        <w:spacing w:line="240" w:lineRule="auto" w:before="86"/>
        <w:ind w:left="677" w:right="0" w:firstLine="0"/>
        <w:jc w:val="left"/>
      </w:pPr>
      <w:r>
        <w:rPr>
          <w:rFonts w:ascii="黑体" w:hAnsi="黑体" w:cs="黑体" w:eastAsia="黑体"/>
        </w:rPr>
        <w:t>第十三条</w:t>
      </w:r>
      <w:r>
        <w:rPr>
          <w:rFonts w:ascii="黑体" w:hAnsi="黑体" w:cs="黑体" w:eastAsia="黑体"/>
          <w:spacing w:val="66"/>
        </w:rPr>
        <w:t> </w:t>
      </w:r>
      <w:r>
        <w:rPr>
          <w:spacing w:val="-1"/>
        </w:rPr>
        <w:t>集团审计，是指对集团财务报表进行的审计。</w:t>
      </w:r>
    </w:p>
    <w:p>
      <w:pPr>
        <w:pStyle w:val="BodyText"/>
        <w:spacing w:line="240" w:lineRule="auto" w:before="195"/>
        <w:ind w:left="677" w:right="0" w:firstLine="0"/>
        <w:jc w:val="left"/>
      </w:pPr>
      <w:r>
        <w:rPr>
          <w:rFonts w:ascii="黑体" w:hAnsi="黑体" w:cs="黑体" w:eastAsia="黑体"/>
        </w:rPr>
        <w:t>第十四条</w:t>
      </w:r>
      <w:r>
        <w:rPr>
          <w:rFonts w:ascii="黑体" w:hAnsi="黑体" w:cs="黑体" w:eastAsia="黑体"/>
          <w:spacing w:val="-4"/>
        </w:rPr>
        <w:t> </w:t>
      </w:r>
      <w:r>
        <w:rPr>
          <w:spacing w:val="-1"/>
        </w:rPr>
        <w:t>集团审计意见，是指对集团财务报表发表的审计意见。</w:t>
      </w:r>
    </w:p>
    <w:p>
      <w:pPr>
        <w:pStyle w:val="BodyText"/>
        <w:spacing w:line="366" w:lineRule="auto"/>
        <w:ind w:right="108"/>
        <w:jc w:val="both"/>
      </w:pPr>
      <w:r>
        <w:rPr>
          <w:rFonts w:ascii="黑体" w:hAnsi="黑体" w:cs="黑体" w:eastAsia="黑体"/>
        </w:rPr>
        <w:t>第十五条</w:t>
      </w:r>
      <w:r>
        <w:rPr>
          <w:rFonts w:ascii="黑体" w:hAnsi="黑体" w:cs="黑体" w:eastAsia="黑体"/>
          <w:spacing w:val="85"/>
        </w:rPr>
        <w:t> </w:t>
      </w:r>
      <w:r>
        <w:rPr/>
        <w:t>集团项目合伙人，是指会计师事务所中负责某项集团审</w:t>
      </w:r>
      <w:r>
        <w:rPr/>
        <w:t> </w:t>
      </w:r>
      <w:r>
        <w:rPr>
          <w:spacing w:val="7"/>
        </w:rPr>
        <w:t>计业务及其执行，并代表会计师事务所在对集团财务报表出具的审计</w:t>
      </w:r>
      <w:r>
        <w:rPr>
          <w:spacing w:val="29"/>
        </w:rPr>
        <w:t> </w:t>
      </w:r>
      <w:r>
        <w:rPr>
          <w:spacing w:val="7"/>
        </w:rPr>
        <w:t>报告上签字的合伙人。如果集团项目合伙人以外的其他注册会计师在</w:t>
      </w:r>
      <w:r>
        <w:rPr>
          <w:spacing w:val="24"/>
        </w:rPr>
        <w:t> </w:t>
      </w:r>
      <w:r>
        <w:rPr>
          <w:spacing w:val="7"/>
        </w:rPr>
        <w:t>对集团财务报表出具的审计报告上签字，本准则对集团项目合伙人的</w:t>
      </w:r>
      <w:r>
        <w:rPr>
          <w:spacing w:val="28"/>
        </w:rPr>
        <w:t> </w:t>
      </w:r>
      <w:r>
        <w:rPr>
          <w:spacing w:val="-1"/>
        </w:rPr>
        <w:t>规定也适用于该签字注册会计师。</w:t>
      </w:r>
    </w:p>
    <w:p>
      <w:pPr>
        <w:pStyle w:val="BodyText"/>
        <w:spacing w:line="366" w:lineRule="auto" w:before="48"/>
        <w:ind w:right="114"/>
        <w:jc w:val="both"/>
      </w:pPr>
      <w:r>
        <w:rPr>
          <w:spacing w:val="7"/>
        </w:rPr>
        <w:t>如果联合注册会计师执行集团审计，联合项目合伙人及其项目组</w:t>
      </w:r>
      <w:r>
        <w:rPr>
          <w:spacing w:val="42"/>
        </w:rPr>
        <w:t> </w:t>
      </w:r>
      <w:r>
        <w:rPr>
          <w:spacing w:val="7"/>
        </w:rPr>
        <w:t>整体上构成集团项目合伙人和集团项目组。但是，本准则并不规范联</w:t>
      </w:r>
      <w:r>
        <w:rPr>
          <w:spacing w:val="29"/>
        </w:rPr>
        <w:t> </w:t>
      </w:r>
      <w:r>
        <w:rPr>
          <w:spacing w:val="7"/>
        </w:rPr>
        <w:t>合注册会计师之间的关系，或参与联合审计的一方注册会计师执行的</w:t>
      </w:r>
      <w:r>
        <w:rPr>
          <w:spacing w:val="29"/>
        </w:rPr>
        <w:t> </w:t>
      </w:r>
      <w:r>
        <w:rPr>
          <w:spacing w:val="-1"/>
        </w:rPr>
        <w:t>工作与另一方注册会计师执行的工作之间的关系。</w:t>
      </w:r>
    </w:p>
    <w:p>
      <w:pPr>
        <w:spacing w:after="0" w:line="366" w:lineRule="auto"/>
        <w:jc w:val="both"/>
        <w:sectPr>
          <w:pgSz w:w="12240" w:h="15840"/>
          <w:pgMar w:header="0" w:footer="706" w:top="1500" w:bottom="900" w:left="1680" w:right="1680"/>
        </w:sectPr>
      </w:pPr>
    </w:p>
    <w:p>
      <w:pPr>
        <w:pStyle w:val="BodyText"/>
        <w:spacing w:line="366" w:lineRule="auto" w:before="62"/>
        <w:ind w:right="108"/>
        <w:jc w:val="both"/>
      </w:pPr>
      <w:r>
        <w:rPr>
          <w:rFonts w:ascii="黑体" w:hAnsi="黑体" w:cs="黑体" w:eastAsia="黑体"/>
        </w:rPr>
        <w:t>第十六条</w:t>
      </w:r>
      <w:r>
        <w:rPr>
          <w:rFonts w:ascii="黑体" w:hAnsi="黑体" w:cs="黑体" w:eastAsia="黑体"/>
          <w:spacing w:val="85"/>
        </w:rPr>
        <w:t> </w:t>
      </w:r>
      <w:r>
        <w:rPr/>
        <w:t>集团项目组，是指参与集团审计的，包括集团项目合伙</w:t>
      </w:r>
      <w:r>
        <w:rPr>
          <w:spacing w:val="21"/>
        </w:rPr>
        <w:t> </w:t>
      </w:r>
      <w:r>
        <w:rPr>
          <w:spacing w:val="16"/>
        </w:rPr>
        <w:t>人在内的所有合伙人和员工。集团项目组负责制定集团总体审计策</w:t>
      </w:r>
      <w:r>
        <w:rPr>
          <w:spacing w:val="28"/>
        </w:rPr>
        <w:t> </w:t>
      </w:r>
      <w:r>
        <w:rPr>
          <w:spacing w:val="7"/>
        </w:rPr>
        <w:t>略，与组成部分注册会计师沟通，针对合并过程执行相关工作，并评</w:t>
      </w:r>
      <w:r>
        <w:rPr>
          <w:spacing w:val="26"/>
        </w:rPr>
        <w:t> </w:t>
      </w:r>
      <w:r>
        <w:rPr>
          <w:spacing w:val="16"/>
        </w:rPr>
        <w:t>价根据审计证据得出的结论，作为形成集团财务报表审计意见的基</w:t>
      </w:r>
      <w:r>
        <w:rPr>
          <w:spacing w:val="28"/>
        </w:rPr>
        <w:t> </w:t>
      </w:r>
      <w:r>
        <w:rPr/>
        <w:t>础。</w:t>
      </w:r>
    </w:p>
    <w:p>
      <w:pPr>
        <w:pStyle w:val="BodyText"/>
        <w:spacing w:line="366" w:lineRule="auto" w:before="47"/>
        <w:ind w:right="112"/>
        <w:jc w:val="both"/>
      </w:pPr>
      <w:r>
        <w:rPr>
          <w:rFonts w:ascii="黑体" w:hAnsi="黑体" w:cs="黑体" w:eastAsia="黑体"/>
        </w:rPr>
        <w:t>第十七条</w:t>
      </w:r>
      <w:r>
        <w:rPr>
          <w:rFonts w:ascii="黑体" w:hAnsi="黑体" w:cs="黑体" w:eastAsia="黑体"/>
          <w:spacing w:val="85"/>
        </w:rPr>
        <w:t> </w:t>
      </w:r>
      <w:r>
        <w:rPr/>
        <w:t>组成部分，是指某一实体或某项业务活动，其财务信息</w:t>
      </w:r>
      <w:r>
        <w:rPr/>
        <w:t> </w:t>
      </w:r>
      <w:r>
        <w:rPr>
          <w:spacing w:val="-1"/>
        </w:rPr>
        <w:t>由集团或组成部分管理层编制并应包括在集团财务报表中。</w:t>
      </w:r>
    </w:p>
    <w:p>
      <w:pPr>
        <w:pStyle w:val="BodyText"/>
        <w:spacing w:line="367" w:lineRule="auto" w:before="45"/>
        <w:ind w:right="112"/>
        <w:jc w:val="both"/>
      </w:pPr>
      <w:r>
        <w:rPr>
          <w:rFonts w:ascii="黑体" w:hAnsi="黑体" w:cs="黑体" w:eastAsia="黑体"/>
        </w:rPr>
        <w:t>第十八条</w:t>
      </w:r>
      <w:r>
        <w:rPr>
          <w:rFonts w:ascii="黑体" w:hAnsi="黑体" w:cs="黑体" w:eastAsia="黑体"/>
          <w:spacing w:val="85"/>
        </w:rPr>
        <w:t> </w:t>
      </w:r>
      <w:r>
        <w:rPr/>
        <w:t>重要组成部分，是指集团项目组识别出的具有下列特征</w:t>
      </w:r>
      <w:r>
        <w:rPr/>
        <w:t> </w:t>
      </w:r>
      <w:r>
        <w:rPr>
          <w:spacing w:val="-1"/>
        </w:rPr>
        <w:t>之一的组成部分：</w:t>
      </w:r>
    </w:p>
    <w:p>
      <w:pPr>
        <w:pStyle w:val="BodyText"/>
        <w:spacing w:line="240" w:lineRule="auto" w:before="43"/>
        <w:ind w:left="677" w:right="0" w:firstLine="0"/>
        <w:jc w:val="left"/>
      </w:pPr>
      <w:r>
        <w:rPr>
          <w:spacing w:val="-1"/>
        </w:rPr>
        <w:t>（一）单个组成部分对集团具有财务重大性；</w:t>
      </w:r>
    </w:p>
    <w:p>
      <w:pPr>
        <w:pStyle w:val="BodyText"/>
        <w:spacing w:line="367" w:lineRule="auto"/>
        <w:ind w:right="117"/>
        <w:jc w:val="both"/>
      </w:pPr>
      <w:r>
        <w:rPr>
          <w:spacing w:val="7"/>
        </w:rPr>
        <w:t>（二）由于单个组成部分的特定性质或情况，可能存在导致集团</w:t>
      </w:r>
      <w:r>
        <w:rPr>
          <w:spacing w:val="42"/>
        </w:rPr>
        <w:t> </w:t>
      </w:r>
      <w:r>
        <w:rPr>
          <w:spacing w:val="-2"/>
        </w:rPr>
        <w:t>财务报表发生重大错报的特别风险。</w:t>
      </w:r>
      <w:r>
        <w:rPr/>
      </w:r>
    </w:p>
    <w:p>
      <w:pPr>
        <w:pStyle w:val="BodyText"/>
        <w:spacing w:line="366" w:lineRule="auto" w:before="43"/>
        <w:ind w:right="112"/>
        <w:jc w:val="both"/>
      </w:pPr>
      <w:r>
        <w:rPr>
          <w:rFonts w:ascii="黑体" w:hAnsi="黑体" w:cs="黑体" w:eastAsia="黑体"/>
        </w:rPr>
        <w:t>第十九条</w:t>
      </w:r>
      <w:r>
        <w:rPr>
          <w:rFonts w:ascii="黑体" w:hAnsi="黑体" w:cs="黑体" w:eastAsia="黑体"/>
          <w:spacing w:val="85"/>
        </w:rPr>
        <w:t> </w:t>
      </w:r>
      <w:r>
        <w:rPr/>
        <w:t>组成部分管理层，是指负责编制组成部分财务信息的管</w:t>
      </w:r>
      <w:r>
        <w:rPr/>
        <w:t> 理层。</w:t>
      </w:r>
    </w:p>
    <w:p>
      <w:pPr>
        <w:pStyle w:val="BodyText"/>
        <w:spacing w:line="366" w:lineRule="auto" w:before="47"/>
        <w:ind w:right="111"/>
        <w:jc w:val="both"/>
      </w:pPr>
      <w:r>
        <w:rPr>
          <w:rFonts w:ascii="黑体" w:hAnsi="黑体" w:cs="黑体" w:eastAsia="黑体"/>
        </w:rPr>
        <w:t>第二十条</w:t>
      </w:r>
      <w:r>
        <w:rPr>
          <w:rFonts w:ascii="黑体" w:hAnsi="黑体" w:cs="黑体" w:eastAsia="黑体"/>
          <w:spacing w:val="85"/>
        </w:rPr>
        <w:t> </w:t>
      </w:r>
      <w:r>
        <w:rPr/>
        <w:t>组成部分注册会计师，是指基于集团审计目的，按照集</w:t>
      </w:r>
      <w:r>
        <w:rPr>
          <w:spacing w:val="21"/>
        </w:rPr>
        <w:t> </w:t>
      </w:r>
      <w:r>
        <w:rPr>
          <w:spacing w:val="-1"/>
        </w:rPr>
        <w:t>团项目组的要求，对组成部分财务信息执行相关工作的注册会计师。</w:t>
      </w:r>
    </w:p>
    <w:p>
      <w:pPr>
        <w:pStyle w:val="BodyText"/>
        <w:spacing w:line="367" w:lineRule="auto" w:before="45"/>
        <w:ind w:right="111"/>
        <w:jc w:val="both"/>
      </w:pPr>
      <w:r>
        <w:rPr>
          <w:rFonts w:ascii="黑体" w:hAnsi="黑体" w:cs="黑体" w:eastAsia="黑体"/>
        </w:rPr>
        <w:t>第二十一条</w:t>
      </w:r>
      <w:r>
        <w:rPr>
          <w:rFonts w:ascii="黑体" w:hAnsi="黑体" w:cs="黑体" w:eastAsia="黑体"/>
          <w:spacing w:val="86"/>
        </w:rPr>
        <w:t> </w:t>
      </w:r>
      <w:r>
        <w:rPr/>
        <w:t>组成部分重要性，是指集团项目组为组成部分确定的</w:t>
      </w:r>
      <w:r>
        <w:rPr/>
        <w:t> 重要性。</w:t>
      </w:r>
    </w:p>
    <w:p>
      <w:pPr>
        <w:pStyle w:val="BodyText"/>
        <w:spacing w:line="240" w:lineRule="auto" w:before="43"/>
        <w:ind w:left="677" w:right="0" w:firstLine="0"/>
        <w:jc w:val="left"/>
      </w:pPr>
      <w:r>
        <w:rPr>
          <w:rFonts w:ascii="黑体" w:hAnsi="黑体" w:cs="黑体" w:eastAsia="黑体"/>
          <w:spacing w:val="-1"/>
        </w:rPr>
        <w:t>第二十二条 </w:t>
      </w:r>
      <w:r>
        <w:rPr>
          <w:spacing w:val="-1"/>
        </w:rPr>
        <w:t>合并过程，是指：</w:t>
      </w:r>
    </w:p>
    <w:p>
      <w:pPr>
        <w:pStyle w:val="BodyText"/>
        <w:spacing w:line="367" w:lineRule="auto" w:before="193"/>
        <w:ind w:right="111"/>
        <w:jc w:val="both"/>
      </w:pPr>
      <w:r>
        <w:rPr>
          <w:spacing w:val="7"/>
        </w:rPr>
        <w:t>（一）通过合并、比例合并、权益法或成本法，在集团财务报表</w:t>
      </w:r>
      <w:r>
        <w:rPr>
          <w:spacing w:val="50"/>
        </w:rPr>
        <w:t> </w:t>
      </w:r>
      <w:r>
        <w:rPr>
          <w:spacing w:val="-1"/>
        </w:rPr>
        <w:t>中对组成部分财务信息进行确认、计量与列报；</w:t>
      </w:r>
    </w:p>
    <w:p>
      <w:pPr>
        <w:pStyle w:val="BodyText"/>
        <w:spacing w:line="366" w:lineRule="auto" w:before="43"/>
        <w:ind w:right="116"/>
        <w:jc w:val="both"/>
      </w:pPr>
      <w:r>
        <w:rPr>
          <w:spacing w:val="7"/>
        </w:rPr>
        <w:t>（二）对没有母公司但处在同一控制下的各组成部分编制的财务</w:t>
      </w:r>
      <w:r>
        <w:rPr>
          <w:spacing w:val="44"/>
        </w:rPr>
        <w:t> </w:t>
      </w:r>
      <w:r>
        <w:rPr>
          <w:spacing w:val="-1"/>
        </w:rPr>
        <w:t>信息进行汇总。</w:t>
      </w:r>
    </w:p>
    <w:p>
      <w:pPr>
        <w:spacing w:after="0" w:line="366" w:lineRule="auto"/>
        <w:jc w:val="both"/>
        <w:sectPr>
          <w:pgSz w:w="12240" w:h="15840"/>
          <w:pgMar w:header="0" w:footer="706" w:top="1500" w:bottom="900" w:left="1680" w:right="1680"/>
        </w:sect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pStyle w:val="Heading2"/>
        <w:tabs>
          <w:tab w:pos="4721" w:val="left" w:leader="none"/>
          <w:tab w:pos="5362" w:val="left" w:leader="none"/>
        </w:tabs>
        <w:spacing w:line="240" w:lineRule="auto" w:before="171"/>
        <w:ind w:left="677" w:right="0" w:firstLine="2763"/>
        <w:jc w:val="left"/>
      </w:pPr>
      <w:r>
        <w:rPr>
          <w:w w:val="95"/>
        </w:rPr>
        <w:t>第三章</w:t>
        <w:tab/>
        <w:t>目</w:t>
        <w:tab/>
      </w:r>
      <w:r>
        <w:rPr/>
        <w:t>标</w:t>
      </w:r>
      <w:r>
        <w:rPr/>
      </w:r>
    </w:p>
    <w:p>
      <w:pPr>
        <w:spacing w:line="240" w:lineRule="auto" w:before="0"/>
        <w:rPr>
          <w:rFonts w:ascii="黑体" w:hAnsi="黑体" w:cs="黑体" w:eastAsia="黑体"/>
          <w:sz w:val="32"/>
          <w:szCs w:val="32"/>
        </w:rPr>
      </w:pPr>
    </w:p>
    <w:p>
      <w:pPr>
        <w:spacing w:line="240" w:lineRule="auto" w:before="4"/>
        <w:rPr>
          <w:rFonts w:ascii="黑体" w:hAnsi="黑体" w:cs="黑体" w:eastAsia="黑体"/>
          <w:sz w:val="28"/>
          <w:szCs w:val="28"/>
        </w:rPr>
      </w:pPr>
    </w:p>
    <w:p>
      <w:pPr>
        <w:pStyle w:val="BodyText"/>
        <w:spacing w:line="240" w:lineRule="auto" w:before="0"/>
        <w:ind w:left="677" w:right="0" w:firstLine="0"/>
        <w:jc w:val="left"/>
      </w:pPr>
      <w:r>
        <w:rPr>
          <w:rFonts w:ascii="黑体" w:hAnsi="黑体" w:cs="黑体" w:eastAsia="黑体"/>
          <w:spacing w:val="-1"/>
        </w:rPr>
        <w:t>第二十三条 </w:t>
      </w:r>
      <w:r>
        <w:rPr>
          <w:spacing w:val="-1"/>
        </w:rPr>
        <w:t>注册会计师的目标是：</w:t>
      </w:r>
    </w:p>
    <w:p>
      <w:pPr>
        <w:pStyle w:val="BodyText"/>
        <w:spacing w:line="240" w:lineRule="auto"/>
        <w:ind w:left="677" w:right="0" w:firstLine="0"/>
        <w:jc w:val="left"/>
      </w:pPr>
      <w:r>
        <w:rPr>
          <w:spacing w:val="-1"/>
        </w:rPr>
        <w:t>（一）确定是否担任集团审计的注册会计师；</w:t>
      </w:r>
    </w:p>
    <w:p>
      <w:pPr>
        <w:pStyle w:val="BodyText"/>
        <w:spacing w:line="367" w:lineRule="auto"/>
        <w:ind w:right="106"/>
        <w:jc w:val="both"/>
      </w:pPr>
      <w:r>
        <w:rPr>
          <w:spacing w:val="7"/>
        </w:rPr>
        <w:t>（二）如果担任集团审计的注册会计师，就组成部分注册会计师</w:t>
      </w:r>
      <w:r>
        <w:rPr>
          <w:spacing w:val="50"/>
        </w:rPr>
        <w:t> </w:t>
      </w:r>
      <w:r>
        <w:rPr>
          <w:spacing w:val="7"/>
        </w:rPr>
        <w:t>对组成部分财务信息执行工作的范围、时间安排和发现的问题，与组</w:t>
      </w:r>
      <w:r>
        <w:rPr>
          <w:spacing w:val="30"/>
        </w:rPr>
        <w:t> </w:t>
      </w:r>
      <w:r>
        <w:rPr>
          <w:spacing w:val="7"/>
        </w:rPr>
        <w:t>成部分注册会计师进行清晰的沟通；针对组成部分财务信息和合并过</w:t>
      </w:r>
      <w:r>
        <w:rPr>
          <w:spacing w:val="24"/>
        </w:rPr>
        <w:t> </w:t>
      </w:r>
      <w:r>
        <w:rPr>
          <w:spacing w:val="7"/>
        </w:rPr>
        <w:t>程，获取充分、适当的审计证据，以对集团财务报表是否在所有重大</w:t>
      </w:r>
      <w:r>
        <w:rPr>
          <w:spacing w:val="28"/>
        </w:rPr>
        <w:t> </w:t>
      </w:r>
      <w:r>
        <w:rPr>
          <w:spacing w:val="-1"/>
        </w:rPr>
        <w:t>方面按照适用的财务报告编制基础编制发表审计意见。</w:t>
      </w: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9"/>
        <w:rPr>
          <w:rFonts w:ascii="宋体" w:hAnsi="宋体" w:cs="宋体" w:eastAsia="宋体"/>
          <w:sz w:val="11"/>
          <w:szCs w:val="11"/>
        </w:rPr>
      </w:pPr>
    </w:p>
    <w:tbl>
      <w:tblPr>
        <w:tblW w:w="0" w:type="auto"/>
        <w:jc w:val="left"/>
        <w:tblInd w:w="3262" w:type="dxa"/>
        <w:tblLayout w:type="fixed"/>
        <w:tblCellMar>
          <w:top w:w="0" w:type="dxa"/>
          <w:left w:w="0" w:type="dxa"/>
          <w:bottom w:w="0" w:type="dxa"/>
          <w:right w:w="0" w:type="dxa"/>
        </w:tblCellMar>
        <w:tblLook w:val="01E0"/>
      </w:tblPr>
      <w:tblGrid>
        <w:gridCol w:w="1178"/>
        <w:gridCol w:w="640"/>
        <w:gridCol w:w="534"/>
      </w:tblGrid>
      <w:tr>
        <w:trPr>
          <w:trHeight w:val="601" w:hRule="exact"/>
        </w:trPr>
        <w:tc>
          <w:tcPr>
            <w:tcW w:w="1178" w:type="dxa"/>
            <w:tcBorders>
              <w:top w:val="nil" w:sz="6" w:space="0" w:color="auto"/>
              <w:left w:val="nil" w:sz="6" w:space="0" w:color="auto"/>
              <w:bottom w:val="nil" w:sz="6" w:space="0" w:color="auto"/>
              <w:right w:val="nil" w:sz="6" w:space="0" w:color="auto"/>
            </w:tcBorders>
          </w:tcPr>
          <w:p>
            <w:pPr>
              <w:pStyle w:val="TableParagraph"/>
              <w:spacing w:line="240" w:lineRule="auto"/>
              <w:ind w:left="59" w:right="0"/>
              <w:jc w:val="left"/>
              <w:rPr>
                <w:rFonts w:ascii="黑体" w:hAnsi="黑体" w:cs="黑体" w:eastAsia="黑体"/>
                <w:sz w:val="32"/>
                <w:szCs w:val="32"/>
              </w:rPr>
            </w:pPr>
            <w:r>
              <w:rPr>
                <w:rFonts w:ascii="黑体" w:hAnsi="黑体" w:cs="黑体" w:eastAsia="黑体"/>
                <w:sz w:val="32"/>
                <w:szCs w:val="32"/>
              </w:rPr>
              <w:t>第四章</w:t>
            </w:r>
          </w:p>
        </w:tc>
        <w:tc>
          <w:tcPr>
            <w:tcW w:w="640" w:type="dxa"/>
            <w:tcBorders>
              <w:top w:val="nil" w:sz="6" w:space="0" w:color="auto"/>
              <w:left w:val="nil" w:sz="6" w:space="0" w:color="auto"/>
              <w:bottom w:val="nil" w:sz="6" w:space="0" w:color="auto"/>
              <w:right w:val="nil" w:sz="6" w:space="0" w:color="auto"/>
            </w:tcBorders>
          </w:tcPr>
          <w:p>
            <w:pPr>
              <w:pStyle w:val="TableParagraph"/>
              <w:spacing w:line="240" w:lineRule="auto"/>
              <w:ind w:left="160" w:right="0"/>
              <w:jc w:val="left"/>
              <w:rPr>
                <w:rFonts w:ascii="黑体" w:hAnsi="黑体" w:cs="黑体" w:eastAsia="黑体"/>
                <w:sz w:val="32"/>
                <w:szCs w:val="32"/>
              </w:rPr>
            </w:pPr>
            <w:r>
              <w:rPr>
                <w:rFonts w:ascii="黑体" w:hAnsi="黑体" w:cs="黑体" w:eastAsia="黑体"/>
                <w:sz w:val="32"/>
                <w:szCs w:val="32"/>
              </w:rPr>
              <w:t>要</w:t>
            </w:r>
          </w:p>
        </w:tc>
        <w:tc>
          <w:tcPr>
            <w:tcW w:w="534" w:type="dxa"/>
            <w:tcBorders>
              <w:top w:val="nil" w:sz="6" w:space="0" w:color="auto"/>
              <w:left w:val="nil" w:sz="6" w:space="0" w:color="auto"/>
              <w:bottom w:val="nil" w:sz="6" w:space="0" w:color="auto"/>
              <w:right w:val="nil" w:sz="6" w:space="0" w:color="auto"/>
            </w:tcBorders>
          </w:tcPr>
          <w:p>
            <w:pPr>
              <w:pStyle w:val="TableParagraph"/>
              <w:spacing w:line="240" w:lineRule="auto"/>
              <w:ind w:left="159" w:right="0"/>
              <w:jc w:val="left"/>
              <w:rPr>
                <w:rFonts w:ascii="黑体" w:hAnsi="黑体" w:cs="黑体" w:eastAsia="黑体"/>
                <w:sz w:val="32"/>
                <w:szCs w:val="32"/>
              </w:rPr>
            </w:pPr>
            <w:r>
              <w:rPr>
                <w:rFonts w:ascii="黑体" w:hAnsi="黑体" w:cs="黑体" w:eastAsia="黑体"/>
                <w:sz w:val="32"/>
                <w:szCs w:val="32"/>
              </w:rPr>
              <w:t>求</w:t>
            </w:r>
          </w:p>
        </w:tc>
      </w:tr>
      <w:tr>
        <w:trPr>
          <w:trHeight w:val="601" w:hRule="exact"/>
        </w:trPr>
        <w:tc>
          <w:tcPr>
            <w:tcW w:w="1178" w:type="dxa"/>
            <w:tcBorders>
              <w:top w:val="nil" w:sz="6" w:space="0" w:color="auto"/>
              <w:left w:val="nil" w:sz="6" w:space="0" w:color="auto"/>
              <w:bottom w:val="nil" w:sz="6" w:space="0" w:color="auto"/>
              <w:right w:val="nil" w:sz="6" w:space="0" w:color="auto"/>
            </w:tcBorders>
          </w:tcPr>
          <w:p>
            <w:pPr>
              <w:pStyle w:val="TableParagraph"/>
              <w:spacing w:line="240" w:lineRule="auto" w:before="82"/>
              <w:ind w:left="55" w:right="0"/>
              <w:jc w:val="left"/>
              <w:rPr>
                <w:rFonts w:ascii="宋体" w:hAnsi="宋体" w:cs="宋体" w:eastAsia="宋体"/>
                <w:sz w:val="32"/>
                <w:szCs w:val="32"/>
              </w:rPr>
            </w:pPr>
            <w:r>
              <w:rPr>
                <w:rFonts w:ascii="宋体" w:hAnsi="宋体" w:cs="宋体" w:eastAsia="宋体"/>
                <w:b/>
                <w:bCs/>
                <w:spacing w:val="2"/>
                <w:sz w:val="32"/>
                <w:szCs w:val="32"/>
              </w:rPr>
              <w:t>第一节</w:t>
            </w:r>
            <w:r>
              <w:rPr>
                <w:rFonts w:ascii="宋体" w:hAnsi="宋体" w:cs="宋体" w:eastAsia="宋体"/>
                <w:sz w:val="32"/>
                <w:szCs w:val="32"/>
              </w:rPr>
            </w:r>
          </w:p>
        </w:tc>
        <w:tc>
          <w:tcPr>
            <w:tcW w:w="640" w:type="dxa"/>
            <w:tcBorders>
              <w:top w:val="nil" w:sz="6" w:space="0" w:color="auto"/>
              <w:left w:val="nil" w:sz="6" w:space="0" w:color="auto"/>
              <w:bottom w:val="nil" w:sz="6" w:space="0" w:color="auto"/>
              <w:right w:val="nil" w:sz="6" w:space="0" w:color="auto"/>
            </w:tcBorders>
          </w:tcPr>
          <w:p>
            <w:pPr>
              <w:pStyle w:val="TableParagraph"/>
              <w:spacing w:line="240" w:lineRule="auto" w:before="82"/>
              <w:ind w:left="158" w:right="0"/>
              <w:jc w:val="left"/>
              <w:rPr>
                <w:rFonts w:ascii="宋体" w:hAnsi="宋体" w:cs="宋体" w:eastAsia="宋体"/>
                <w:sz w:val="32"/>
                <w:szCs w:val="32"/>
              </w:rPr>
            </w:pPr>
            <w:r>
              <w:rPr>
                <w:rFonts w:ascii="宋体" w:hAnsi="宋体" w:cs="宋体" w:eastAsia="宋体"/>
                <w:b/>
                <w:bCs/>
                <w:sz w:val="32"/>
                <w:szCs w:val="32"/>
              </w:rPr>
              <w:t>责</w:t>
            </w:r>
            <w:r>
              <w:rPr>
                <w:rFonts w:ascii="宋体" w:hAnsi="宋体" w:cs="宋体" w:eastAsia="宋体"/>
                <w:sz w:val="32"/>
                <w:szCs w:val="32"/>
              </w:rPr>
            </w:r>
          </w:p>
        </w:tc>
        <w:tc>
          <w:tcPr>
            <w:tcW w:w="534" w:type="dxa"/>
            <w:tcBorders>
              <w:top w:val="nil" w:sz="6" w:space="0" w:color="auto"/>
              <w:left w:val="nil" w:sz="6" w:space="0" w:color="auto"/>
              <w:bottom w:val="nil" w:sz="6" w:space="0" w:color="auto"/>
              <w:right w:val="nil" w:sz="6" w:space="0" w:color="auto"/>
            </w:tcBorders>
          </w:tcPr>
          <w:p>
            <w:pPr>
              <w:pStyle w:val="TableParagraph"/>
              <w:spacing w:line="240" w:lineRule="auto" w:before="82"/>
              <w:ind w:left="159" w:right="0"/>
              <w:jc w:val="left"/>
              <w:rPr>
                <w:rFonts w:ascii="宋体" w:hAnsi="宋体" w:cs="宋体" w:eastAsia="宋体"/>
                <w:sz w:val="32"/>
                <w:szCs w:val="32"/>
              </w:rPr>
            </w:pPr>
            <w:r>
              <w:rPr>
                <w:rFonts w:ascii="宋体" w:hAnsi="宋体" w:cs="宋体" w:eastAsia="宋体"/>
                <w:b/>
                <w:bCs/>
                <w:sz w:val="32"/>
                <w:szCs w:val="32"/>
              </w:rPr>
              <w:t>任</w:t>
            </w:r>
            <w:r>
              <w:rPr>
                <w:rFonts w:ascii="宋体" w:hAnsi="宋体" w:cs="宋体" w:eastAsia="宋体"/>
                <w:sz w:val="32"/>
                <w:szCs w:val="32"/>
              </w:rPr>
            </w:r>
          </w:p>
        </w:tc>
      </w:tr>
    </w:tbl>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pStyle w:val="BodyText"/>
        <w:spacing w:line="366" w:lineRule="auto" w:before="164"/>
        <w:ind w:right="106"/>
        <w:jc w:val="both"/>
      </w:pPr>
      <w:r>
        <w:rPr>
          <w:rFonts w:ascii="黑体" w:hAnsi="黑体" w:cs="黑体" w:eastAsia="黑体"/>
        </w:rPr>
        <w:t>第二十四条</w:t>
      </w:r>
      <w:r>
        <w:rPr>
          <w:rFonts w:ascii="黑体" w:hAnsi="黑体" w:cs="黑体" w:eastAsia="黑体"/>
          <w:spacing w:val="86"/>
        </w:rPr>
        <w:t> </w:t>
      </w:r>
      <w:r>
        <w:rPr/>
        <w:t>集团项目合伙人应当按照职业准则和适用的法律法规</w:t>
      </w:r>
      <w:r>
        <w:rPr/>
        <w:t> </w:t>
      </w:r>
      <w:r>
        <w:rPr>
          <w:spacing w:val="7"/>
        </w:rPr>
        <w:t>的规定，负责指导、监督和执行集团审计业务，并确定出具的审计报</w:t>
      </w:r>
      <w:r>
        <w:rPr>
          <w:spacing w:val="26"/>
        </w:rPr>
        <w:t> </w:t>
      </w:r>
      <w:r>
        <w:rPr>
          <w:spacing w:val="7"/>
        </w:rPr>
        <w:t>告是否适合具体情况。注册会计师对集团财务报表出具的审计报告不</w:t>
      </w:r>
      <w:r>
        <w:rPr>
          <w:spacing w:val="28"/>
        </w:rPr>
        <w:t> </w:t>
      </w:r>
      <w:r>
        <w:rPr>
          <w:spacing w:val="7"/>
        </w:rPr>
        <w:t>应提及组成部分注册会计师，除非法律法规另有规定。如果法律法规</w:t>
      </w:r>
      <w:r>
        <w:rPr>
          <w:spacing w:val="28"/>
        </w:rPr>
        <w:t> </w:t>
      </w:r>
      <w:r>
        <w:rPr>
          <w:spacing w:val="7"/>
        </w:rPr>
        <w:t>要求在审计报告中提及组成部分注册会计师，审计报告应当指明，这</w:t>
      </w:r>
      <w:r>
        <w:rPr>
          <w:spacing w:val="32"/>
        </w:rPr>
        <w:t> </w:t>
      </w:r>
      <w:r>
        <w:rPr>
          <w:spacing w:val="7"/>
        </w:rPr>
        <w:t>种提及并不减轻集团项目合伙人及其所在的会计师事务所对集团审计</w:t>
      </w:r>
      <w:r>
        <w:rPr>
          <w:spacing w:val="22"/>
        </w:rPr>
        <w:t> </w:t>
      </w:r>
      <w:r>
        <w:rPr>
          <w:spacing w:val="-1"/>
        </w:rPr>
        <w:t>意见承担的责任。</w:t>
      </w:r>
    </w:p>
    <w:p>
      <w:pPr>
        <w:spacing w:after="0" w:line="366" w:lineRule="auto"/>
        <w:jc w:val="both"/>
        <w:sectPr>
          <w:pgSz w:w="12240" w:h="15840"/>
          <w:pgMar w:header="0" w:footer="706" w:top="1500" w:bottom="900" w:left="1680" w:right="1680"/>
        </w:sectPr>
      </w:pPr>
    </w:p>
    <w:p>
      <w:pPr>
        <w:pStyle w:val="Heading1"/>
        <w:tabs>
          <w:tab w:pos="3152" w:val="left" w:leader="none"/>
        </w:tabs>
        <w:spacing w:line="240" w:lineRule="auto" w:before="15"/>
        <w:ind w:left="1870" w:right="0"/>
        <w:jc w:val="left"/>
        <w:rPr>
          <w:b w:val="0"/>
          <w:bCs w:val="0"/>
        </w:rPr>
      </w:pPr>
      <w:r>
        <w:rPr>
          <w:w w:val="95"/>
        </w:rPr>
        <w:t>第二节</w:t>
        <w:tab/>
      </w:r>
      <w:r>
        <w:rPr>
          <w:spacing w:val="1"/>
        </w:rPr>
        <w:t>集团审计业务的承接与保持</w:t>
      </w:r>
      <w:r>
        <w:rPr>
          <w:b w:val="0"/>
          <w:bCs w:val="0"/>
        </w:rPr>
      </w:r>
    </w:p>
    <w:p>
      <w:pPr>
        <w:spacing w:line="240" w:lineRule="auto" w:before="0"/>
        <w:rPr>
          <w:rFonts w:ascii="宋体" w:hAnsi="宋体" w:cs="宋体" w:eastAsia="宋体"/>
          <w:b/>
          <w:bCs/>
          <w:sz w:val="32"/>
          <w:szCs w:val="32"/>
        </w:rPr>
      </w:pPr>
    </w:p>
    <w:p>
      <w:pPr>
        <w:spacing w:line="240" w:lineRule="auto" w:before="2"/>
        <w:rPr>
          <w:rFonts w:ascii="宋体" w:hAnsi="宋体" w:cs="宋体" w:eastAsia="宋体"/>
          <w:b/>
          <w:bCs/>
          <w:sz w:val="28"/>
          <w:szCs w:val="28"/>
        </w:rPr>
      </w:pPr>
    </w:p>
    <w:p>
      <w:pPr>
        <w:pStyle w:val="BodyText"/>
        <w:tabs>
          <w:tab w:pos="2316" w:val="left" w:leader="none"/>
        </w:tabs>
        <w:spacing w:line="240" w:lineRule="auto" w:before="0"/>
        <w:ind w:left="677" w:right="0" w:firstLine="0"/>
        <w:jc w:val="left"/>
        <w:rPr>
          <w:rFonts w:ascii="Times New Roman" w:hAnsi="Times New Roman" w:cs="Times New Roman" w:eastAsia="Times New Roman"/>
        </w:rPr>
      </w:pPr>
      <w:r>
        <w:rPr>
          <w:rFonts w:ascii="黑体" w:hAnsi="黑体" w:cs="黑体" w:eastAsia="黑体"/>
          <w:spacing w:val="1"/>
        </w:rPr>
        <w:t>第二十五条</w:t>
        <w:tab/>
      </w:r>
      <w:r>
        <w:rPr>
          <w:spacing w:val="1"/>
        </w:rPr>
        <w:t>在具体运用《中国注册会计师审计准则第</w:t>
      </w:r>
      <w:r>
        <w:rPr>
          <w:spacing w:val="2"/>
        </w:rPr>
        <w:t> </w:t>
      </w:r>
      <w:r>
        <w:rPr>
          <w:rFonts w:ascii="Times New Roman" w:hAnsi="Times New Roman" w:cs="Times New Roman" w:eastAsia="Times New Roman"/>
          <w:spacing w:val="-4"/>
        </w:rPr>
        <w:t>1121</w:t>
      </w:r>
      <w:r>
        <w:rPr>
          <w:rFonts w:ascii="Times New Roman" w:hAnsi="Times New Roman" w:cs="Times New Roman" w:eastAsia="Times New Roman"/>
          <w:spacing w:val="44"/>
        </w:rPr>
        <w:t> </w:t>
      </w:r>
      <w:r>
        <w:rPr>
          <w:spacing w:val="1"/>
        </w:rPr>
        <w:t>号</w:t>
      </w:r>
      <w:r>
        <w:rPr>
          <w:rFonts w:ascii="Times New Roman" w:hAnsi="Times New Roman" w:cs="Times New Roman" w:eastAsia="Times New Roman"/>
          <w:spacing w:val="1"/>
        </w:rPr>
        <w:t>—</w:t>
      </w:r>
    </w:p>
    <w:p>
      <w:pPr>
        <w:pStyle w:val="BodyText"/>
        <w:spacing w:line="363" w:lineRule="auto" w:before="174"/>
        <w:ind w:right="106" w:firstLine="0"/>
        <w:jc w:val="both"/>
      </w:pPr>
      <w:r>
        <w:rPr>
          <w:rFonts w:ascii="Times New Roman" w:hAnsi="Times New Roman" w:cs="Times New Roman" w:eastAsia="Times New Roman"/>
          <w:spacing w:val="7"/>
        </w:rPr>
        <w:t>—</w:t>
      </w:r>
      <w:r>
        <w:rPr>
          <w:spacing w:val="7"/>
        </w:rPr>
        <w:t>对财务报表审计实施的质量控制》时，集团项目合伙人应当确定是</w:t>
      </w:r>
      <w:r>
        <w:rPr>
          <w:spacing w:val="30"/>
        </w:rPr>
        <w:t> </w:t>
      </w:r>
      <w:r>
        <w:rPr>
          <w:spacing w:val="7"/>
        </w:rPr>
        <w:t>否能够合理预期获取与合并过程和组成部分财务信息相关的充分、适</w:t>
      </w:r>
      <w:r>
        <w:rPr>
          <w:spacing w:val="29"/>
        </w:rPr>
        <w:t> </w:t>
      </w:r>
      <w:r>
        <w:rPr>
          <w:spacing w:val="7"/>
        </w:rPr>
        <w:t>当的审计证据，以作为形成集团审计意见的基础。因此，集团项目组</w:t>
      </w:r>
      <w:r>
        <w:rPr>
          <w:spacing w:val="29"/>
        </w:rPr>
        <w:t> </w:t>
      </w:r>
      <w:r>
        <w:rPr>
          <w:spacing w:val="7"/>
        </w:rPr>
        <w:t>应当了解集团及其环境、集团组成部分及其环境，以足以识别可能的</w:t>
      </w:r>
      <w:r>
        <w:rPr>
          <w:spacing w:val="28"/>
        </w:rPr>
        <w:t> </w:t>
      </w:r>
      <w:r>
        <w:rPr>
          <w:spacing w:val="7"/>
        </w:rPr>
        <w:t>重要组成部分。如果组成部分注册会计师对重要组成部分财务信息执</w:t>
      </w:r>
      <w:r>
        <w:rPr>
          <w:spacing w:val="34"/>
        </w:rPr>
        <w:t> </w:t>
      </w:r>
      <w:r>
        <w:rPr>
          <w:spacing w:val="7"/>
        </w:rPr>
        <w:t>行相关工作，集团项目合伙人应当评价集团项目组参与组成部分注册</w:t>
      </w:r>
      <w:r>
        <w:rPr>
          <w:spacing w:val="24"/>
        </w:rPr>
        <w:t> </w:t>
      </w:r>
      <w:r>
        <w:rPr>
          <w:spacing w:val="-2"/>
        </w:rPr>
        <w:t>会计师工作的程度是否足以获取充分、适当的审计证据。</w:t>
      </w:r>
    </w:p>
    <w:p>
      <w:pPr>
        <w:pStyle w:val="BodyText"/>
        <w:spacing w:line="366" w:lineRule="auto" w:before="48"/>
        <w:ind w:right="104"/>
        <w:jc w:val="both"/>
      </w:pPr>
      <w:r>
        <w:rPr>
          <w:rFonts w:ascii="黑体" w:hAnsi="黑体" w:cs="黑体" w:eastAsia="黑体"/>
          <w:spacing w:val="7"/>
        </w:rPr>
        <w:t>第二十六条</w:t>
      </w:r>
      <w:r>
        <w:rPr>
          <w:rFonts w:ascii="黑体" w:hAnsi="黑体" w:cs="黑体" w:eastAsia="黑体"/>
          <w:spacing w:val="117"/>
        </w:rPr>
        <w:t> </w:t>
      </w:r>
      <w:r>
        <w:rPr>
          <w:spacing w:val="9"/>
        </w:rPr>
        <w:t>如果集团项目合伙人认为由于集团管理层施加的限</w:t>
      </w:r>
      <w:r>
        <w:rPr>
          <w:spacing w:val="33"/>
        </w:rPr>
        <w:t> </w:t>
      </w:r>
      <w:r>
        <w:rPr>
          <w:spacing w:val="7"/>
        </w:rPr>
        <w:t>制，使集团项目组不能获取充分、适当的审计证据，由此产生的影响</w:t>
      </w:r>
      <w:r>
        <w:rPr>
          <w:spacing w:val="28"/>
        </w:rPr>
        <w:t> </w:t>
      </w:r>
      <w:r>
        <w:rPr>
          <w:spacing w:val="7"/>
        </w:rPr>
        <w:t>可能导致对集团财务报表发表无法表示意见，集团项目合伙人应当视</w:t>
      </w:r>
      <w:r>
        <w:rPr>
          <w:spacing w:val="28"/>
        </w:rPr>
        <w:t> </w:t>
      </w:r>
      <w:r>
        <w:rPr>
          <w:spacing w:val="-1"/>
        </w:rPr>
        <w:t>具体情况采取下列措施：</w:t>
      </w:r>
    </w:p>
    <w:p>
      <w:pPr>
        <w:pStyle w:val="BodyText"/>
        <w:spacing w:line="367" w:lineRule="auto" w:before="44"/>
        <w:ind w:right="114"/>
        <w:jc w:val="both"/>
      </w:pPr>
      <w:r>
        <w:rPr>
          <w:spacing w:val="18"/>
        </w:rPr>
        <w:t>（一）如果是新业务，拒绝接受业务委托，如果是连续审计业</w:t>
      </w:r>
      <w:r>
        <w:rPr>
          <w:spacing w:val="22"/>
        </w:rPr>
        <w:t> </w:t>
      </w:r>
      <w:r>
        <w:rPr>
          <w:spacing w:val="-1"/>
        </w:rPr>
        <w:t>务，在法律法规允许的情况下，解除业务约定；</w:t>
      </w:r>
    </w:p>
    <w:p>
      <w:pPr>
        <w:pStyle w:val="BodyText"/>
        <w:spacing w:line="366" w:lineRule="auto" w:before="43"/>
        <w:ind w:right="99"/>
        <w:jc w:val="both"/>
      </w:pPr>
      <w:r>
        <w:rPr>
          <w:spacing w:val="8"/>
        </w:rPr>
        <w:t>（二）如果法律法规禁止注册会计师拒绝接受业务委托，或者注</w:t>
      </w:r>
      <w:r>
        <w:rPr>
          <w:spacing w:val="37"/>
        </w:rPr>
        <w:t> </w:t>
      </w:r>
      <w:r>
        <w:rPr>
          <w:spacing w:val="7"/>
        </w:rPr>
        <w:t>册会计师不能解除业务约定，在可能的范围内对集团财务报表实施审</w:t>
      </w:r>
      <w:r>
        <w:rPr>
          <w:spacing w:val="29"/>
        </w:rPr>
        <w:t> </w:t>
      </w:r>
      <w:r>
        <w:rPr>
          <w:spacing w:val="-1"/>
        </w:rPr>
        <w:t>计，并对集团财务报表发表无法表示意见。</w:t>
      </w:r>
    </w:p>
    <w:p>
      <w:pPr>
        <w:pStyle w:val="BodyText"/>
        <w:spacing w:line="357" w:lineRule="auto" w:before="45"/>
        <w:ind w:right="112"/>
        <w:jc w:val="both"/>
      </w:pPr>
      <w:r>
        <w:rPr>
          <w:rFonts w:ascii="黑体" w:hAnsi="黑体" w:cs="黑体" w:eastAsia="黑体"/>
        </w:rPr>
        <w:t>第二十七条</w:t>
      </w:r>
      <w:r>
        <w:rPr>
          <w:rFonts w:ascii="黑体" w:hAnsi="黑体" w:cs="黑体" w:eastAsia="黑体"/>
          <w:spacing w:val="86"/>
        </w:rPr>
        <w:t> </w:t>
      </w:r>
      <w:r>
        <w:rPr/>
        <w:t>集团项目合伙人应当按照《中国注册会计师审计准则</w:t>
      </w:r>
      <w:r>
        <w:rPr/>
        <w:t> 第</w:t>
      </w:r>
      <w:r>
        <w:rPr>
          <w:spacing w:val="1"/>
        </w:rPr>
        <w:t> </w:t>
      </w:r>
      <w:r>
        <w:rPr>
          <w:rFonts w:ascii="Times New Roman" w:hAnsi="Times New Roman" w:cs="Times New Roman" w:eastAsia="Times New Roman"/>
          <w:spacing w:val="-9"/>
        </w:rPr>
        <w:t>1111</w:t>
      </w:r>
      <w:r>
        <w:rPr>
          <w:rFonts w:ascii="Times New Roman" w:hAnsi="Times New Roman" w:cs="Times New Roman" w:eastAsia="Times New Roman"/>
          <w:spacing w:val="41"/>
        </w:rPr>
        <w:t> </w:t>
      </w:r>
      <w:r>
        <w:rPr>
          <w:spacing w:val="-1"/>
        </w:rPr>
        <w:t>号</w:t>
      </w:r>
      <w:r>
        <w:rPr>
          <w:rFonts w:ascii="Times New Roman" w:hAnsi="Times New Roman" w:cs="Times New Roman" w:eastAsia="Times New Roman"/>
          <w:spacing w:val="-1"/>
        </w:rPr>
        <w:t>——</w:t>
      </w:r>
      <w:r>
        <w:rPr>
          <w:spacing w:val="-1"/>
        </w:rPr>
        <w:t>就审计业务约定条款达成一致意见》的规定，就集团审</w:t>
      </w:r>
      <w:r>
        <w:rPr>
          <w:spacing w:val="59"/>
        </w:rPr>
        <w:t> </w:t>
      </w:r>
      <w:r>
        <w:rPr>
          <w:spacing w:val="-1"/>
        </w:rPr>
        <w:t>计业务约定条款与管理层或治理层（如适用）达成一致意见。</w:t>
      </w:r>
    </w:p>
    <w:p>
      <w:pPr>
        <w:spacing w:after="0" w:line="357" w:lineRule="auto"/>
        <w:jc w:val="both"/>
        <w:sectPr>
          <w:pgSz w:w="12240" w:h="15840"/>
          <w:pgMar w:header="0" w:footer="706" w:top="1500" w:bottom="900" w:left="1680" w:right="1680"/>
        </w:sectPr>
      </w:pPr>
    </w:p>
    <w:p>
      <w:pPr>
        <w:pStyle w:val="Heading1"/>
        <w:tabs>
          <w:tab w:pos="1282" w:val="left" w:leader="none"/>
        </w:tabs>
        <w:spacing w:line="240" w:lineRule="auto" w:before="15"/>
        <w:ind w:right="2"/>
        <w:jc w:val="center"/>
        <w:rPr>
          <w:b w:val="0"/>
          <w:bCs w:val="0"/>
        </w:rPr>
      </w:pPr>
      <w:r>
        <w:rPr>
          <w:w w:val="95"/>
        </w:rPr>
        <w:t>第三节</w:t>
        <w:tab/>
      </w:r>
      <w:r>
        <w:rPr>
          <w:spacing w:val="1"/>
        </w:rPr>
        <w:t>总体审计策略和具体审计计划</w:t>
      </w:r>
      <w:r>
        <w:rPr>
          <w:b w:val="0"/>
          <w:bCs w:val="0"/>
        </w:rPr>
      </w:r>
    </w:p>
    <w:p>
      <w:pPr>
        <w:spacing w:line="240" w:lineRule="auto" w:before="0"/>
        <w:rPr>
          <w:rFonts w:ascii="宋体" w:hAnsi="宋体" w:cs="宋体" w:eastAsia="宋体"/>
          <w:b/>
          <w:bCs/>
          <w:sz w:val="32"/>
          <w:szCs w:val="32"/>
        </w:rPr>
      </w:pPr>
    </w:p>
    <w:p>
      <w:pPr>
        <w:spacing w:line="240" w:lineRule="auto" w:before="2"/>
        <w:rPr>
          <w:rFonts w:ascii="宋体" w:hAnsi="宋体" w:cs="宋体" w:eastAsia="宋体"/>
          <w:b/>
          <w:bCs/>
          <w:sz w:val="28"/>
          <w:szCs w:val="28"/>
        </w:rPr>
      </w:pPr>
    </w:p>
    <w:p>
      <w:pPr>
        <w:pStyle w:val="BodyText"/>
        <w:spacing w:line="357" w:lineRule="auto" w:before="0"/>
        <w:ind w:right="105"/>
        <w:jc w:val="both"/>
      </w:pPr>
      <w:r>
        <w:rPr>
          <w:rFonts w:ascii="黑体" w:hAnsi="黑体" w:cs="黑体" w:eastAsia="黑体"/>
          <w:spacing w:val="7"/>
        </w:rPr>
        <w:t>第二十八条</w:t>
      </w:r>
      <w:r>
        <w:rPr>
          <w:rFonts w:ascii="黑体" w:hAnsi="黑体" w:cs="黑体" w:eastAsia="黑体"/>
          <w:spacing w:val="117"/>
        </w:rPr>
        <w:t> </w:t>
      </w:r>
      <w:r>
        <w:rPr>
          <w:spacing w:val="9"/>
        </w:rPr>
        <w:t>集团项目组应当按照《中国注册会计师审计准则第</w:t>
      </w:r>
      <w:r>
        <w:rPr>
          <w:spacing w:val="39"/>
        </w:rPr>
        <w:t> </w:t>
      </w:r>
      <w:r>
        <w:rPr>
          <w:rFonts w:ascii="Times New Roman" w:hAnsi="Times New Roman" w:cs="Times New Roman" w:eastAsia="Times New Roman"/>
          <w:spacing w:val="6"/>
        </w:rPr>
        <w:t>1201</w:t>
      </w:r>
      <w:r>
        <w:rPr>
          <w:spacing w:val="6"/>
        </w:rPr>
        <w:t>号</w:t>
      </w:r>
      <w:r>
        <w:rPr>
          <w:rFonts w:ascii="Times New Roman" w:hAnsi="Times New Roman" w:cs="Times New Roman" w:eastAsia="Times New Roman"/>
          <w:spacing w:val="6"/>
        </w:rPr>
        <w:t>——</w:t>
      </w:r>
      <w:r>
        <w:rPr>
          <w:spacing w:val="6"/>
        </w:rPr>
        <w:t>计划审计工作》的规定，制定集团总体审计策略和具体审</w:t>
      </w:r>
      <w:r>
        <w:rPr>
          <w:spacing w:val="40"/>
        </w:rPr>
        <w:t> </w:t>
      </w:r>
      <w:r>
        <w:rPr/>
        <w:t>计计划。</w:t>
      </w:r>
    </w:p>
    <w:p>
      <w:pPr>
        <w:pStyle w:val="BodyText"/>
        <w:tabs>
          <w:tab w:pos="2307" w:val="left" w:leader="none"/>
        </w:tabs>
        <w:spacing w:line="368" w:lineRule="auto" w:before="56"/>
        <w:ind w:right="112"/>
        <w:jc w:val="left"/>
      </w:pPr>
      <w:r>
        <w:rPr>
          <w:rFonts w:ascii="黑体" w:hAnsi="黑体" w:cs="黑体" w:eastAsia="黑体"/>
        </w:rPr>
        <w:t>第二十九条</w:t>
        <w:tab/>
      </w:r>
      <w:r>
        <w:rPr/>
        <w:t>集团项目合伙人应当复核集团总体审计策略和具体审</w:t>
      </w:r>
      <w:r>
        <w:rPr/>
        <w:t> 计计划。</w:t>
      </w:r>
    </w:p>
    <w:p>
      <w:pPr>
        <w:spacing w:line="240" w:lineRule="auto" w:before="0"/>
        <w:rPr>
          <w:rFonts w:ascii="宋体" w:hAnsi="宋体" w:cs="宋体" w:eastAsia="宋体"/>
          <w:sz w:val="28"/>
          <w:szCs w:val="28"/>
        </w:rPr>
      </w:pPr>
    </w:p>
    <w:p>
      <w:pPr>
        <w:spacing w:line="240" w:lineRule="auto" w:before="8"/>
        <w:rPr>
          <w:rFonts w:ascii="宋体" w:hAnsi="宋体" w:cs="宋体" w:eastAsia="宋体"/>
          <w:sz w:val="23"/>
          <w:szCs w:val="23"/>
        </w:rPr>
      </w:pPr>
    </w:p>
    <w:p>
      <w:pPr>
        <w:pStyle w:val="Heading1"/>
        <w:tabs>
          <w:tab w:pos="2028" w:val="left" w:leader="none"/>
        </w:tabs>
        <w:spacing w:line="240" w:lineRule="auto"/>
        <w:ind w:left="746" w:right="0"/>
        <w:jc w:val="left"/>
        <w:rPr>
          <w:b w:val="0"/>
          <w:bCs w:val="0"/>
        </w:rPr>
      </w:pPr>
      <w:r>
        <w:rPr>
          <w:w w:val="95"/>
        </w:rPr>
        <w:t>第四节</w:t>
        <w:tab/>
      </w:r>
      <w:r>
        <w:rPr>
          <w:spacing w:val="1"/>
        </w:rPr>
        <w:t>了解集团及其环境、集团组成部分及其环境</w:t>
      </w:r>
      <w:r>
        <w:rPr>
          <w:b w:val="0"/>
          <w:bCs w:val="0"/>
        </w:rPr>
      </w:r>
    </w:p>
    <w:p>
      <w:pPr>
        <w:spacing w:line="240" w:lineRule="auto" w:before="0"/>
        <w:rPr>
          <w:rFonts w:ascii="宋体" w:hAnsi="宋体" w:cs="宋体" w:eastAsia="宋体"/>
          <w:b/>
          <w:bCs/>
          <w:sz w:val="32"/>
          <w:szCs w:val="32"/>
        </w:rPr>
      </w:pPr>
    </w:p>
    <w:p>
      <w:pPr>
        <w:spacing w:line="240" w:lineRule="auto" w:before="4"/>
        <w:rPr>
          <w:rFonts w:ascii="宋体" w:hAnsi="宋体" w:cs="宋体" w:eastAsia="宋体"/>
          <w:b/>
          <w:bCs/>
          <w:sz w:val="28"/>
          <w:szCs w:val="28"/>
        </w:rPr>
      </w:pPr>
    </w:p>
    <w:p>
      <w:pPr>
        <w:pStyle w:val="BodyText"/>
        <w:tabs>
          <w:tab w:pos="2025" w:val="left" w:leader="none"/>
        </w:tabs>
        <w:spacing w:line="366" w:lineRule="auto" w:before="0"/>
        <w:ind w:right="112"/>
        <w:jc w:val="left"/>
      </w:pPr>
      <w:r>
        <w:rPr>
          <w:rFonts w:ascii="黑体" w:hAnsi="黑体" w:cs="黑体" w:eastAsia="黑体"/>
        </w:rPr>
        <w:t>第三十条</w:t>
        <w:tab/>
      </w:r>
      <w:r>
        <w:rPr/>
        <w:t>注册会计师应当通过了解被审计单位及其环境，识别和</w:t>
      </w:r>
      <w:r>
        <w:rPr/>
        <w:t> </w:t>
      </w:r>
      <w:r>
        <w:rPr>
          <w:spacing w:val="-1"/>
        </w:rPr>
        <w:t>评估财务报表重大错报风险。</w:t>
      </w:r>
    </w:p>
    <w:p>
      <w:pPr>
        <w:pStyle w:val="BodyText"/>
        <w:spacing w:line="240" w:lineRule="auto" w:before="46"/>
        <w:ind w:left="677" w:right="0" w:firstLine="0"/>
        <w:jc w:val="left"/>
      </w:pPr>
      <w:r>
        <w:rPr>
          <w:spacing w:val="-1"/>
        </w:rPr>
        <w:t>集团项目组应当：</w:t>
      </w:r>
    </w:p>
    <w:p>
      <w:pPr>
        <w:pStyle w:val="BodyText"/>
        <w:spacing w:line="366" w:lineRule="auto" w:before="195"/>
        <w:ind w:right="112"/>
        <w:jc w:val="left"/>
      </w:pPr>
      <w:r>
        <w:rPr>
          <w:spacing w:val="7"/>
        </w:rPr>
        <w:t>（一）在业务承接或保持阶段获取信息的基础上，进一步了解集</w:t>
      </w:r>
      <w:r>
        <w:rPr>
          <w:spacing w:val="48"/>
        </w:rPr>
        <w:t> </w:t>
      </w:r>
      <w:r>
        <w:rPr>
          <w:spacing w:val="-2"/>
        </w:rPr>
        <w:t>团及其环境、集团组成部分及其环境，包括集团层面控制；</w:t>
      </w:r>
    </w:p>
    <w:p>
      <w:pPr>
        <w:pStyle w:val="BodyText"/>
        <w:spacing w:line="240" w:lineRule="auto" w:before="45"/>
        <w:ind w:left="677" w:right="0" w:firstLine="0"/>
        <w:jc w:val="left"/>
      </w:pPr>
      <w:r>
        <w:rPr>
          <w:spacing w:val="-1"/>
        </w:rPr>
        <w:t>（二）了解合并过程，包括集团管理层向组成部分下达的指令。</w:t>
      </w:r>
    </w:p>
    <w:p>
      <w:pPr>
        <w:pStyle w:val="BodyText"/>
        <w:tabs>
          <w:tab w:pos="2307" w:val="left" w:leader="none"/>
        </w:tabs>
        <w:spacing w:line="366" w:lineRule="auto" w:before="195"/>
        <w:ind w:right="111"/>
        <w:jc w:val="left"/>
      </w:pPr>
      <w:r>
        <w:rPr>
          <w:rFonts w:ascii="黑体" w:hAnsi="黑体" w:cs="黑体" w:eastAsia="黑体"/>
        </w:rPr>
        <w:t>第三十一条</w:t>
        <w:tab/>
      </w:r>
      <w:r>
        <w:rPr/>
        <w:t>集团项目组应当对集团及其环境、集团组成部分及其</w:t>
      </w:r>
      <w:r>
        <w:rPr/>
        <w:t> </w:t>
      </w:r>
      <w:r>
        <w:rPr>
          <w:spacing w:val="-1"/>
        </w:rPr>
        <w:t>环境获取充分的了解，以足以：</w:t>
      </w:r>
    </w:p>
    <w:p>
      <w:pPr>
        <w:pStyle w:val="BodyText"/>
        <w:spacing w:line="240" w:lineRule="auto" w:before="46"/>
        <w:ind w:left="677" w:right="0" w:firstLine="0"/>
        <w:jc w:val="left"/>
      </w:pPr>
      <w:r>
        <w:rPr>
          <w:spacing w:val="-1"/>
        </w:rPr>
        <w:t>（一）确认或修正最初识别的重要组成部分；</w:t>
      </w:r>
    </w:p>
    <w:p>
      <w:pPr>
        <w:pStyle w:val="BodyText"/>
        <w:spacing w:line="366" w:lineRule="auto" w:before="195"/>
        <w:ind w:right="112"/>
        <w:jc w:val="left"/>
      </w:pPr>
      <w:r>
        <w:rPr>
          <w:spacing w:val="7"/>
        </w:rPr>
        <w:t>（二）评估由于舞弊或错误导致集团财务报表发生重大错报的风</w:t>
      </w:r>
      <w:r>
        <w:rPr>
          <w:spacing w:val="54"/>
        </w:rPr>
        <w:t> </w:t>
      </w:r>
      <w:r>
        <w:rPr/>
        <w:t>险。</w:t>
      </w:r>
    </w:p>
    <w:p>
      <w:pPr>
        <w:spacing w:after="0" w:line="366" w:lineRule="auto"/>
        <w:jc w:val="left"/>
        <w:sectPr>
          <w:pgSz w:w="12240" w:h="15840"/>
          <w:pgMar w:header="0" w:footer="706" w:top="1500" w:bottom="900" w:left="1680" w:right="1680"/>
        </w:sectPr>
      </w:pPr>
    </w:p>
    <w:p>
      <w:pPr>
        <w:pStyle w:val="Heading1"/>
        <w:tabs>
          <w:tab w:pos="1282" w:val="left" w:leader="none"/>
        </w:tabs>
        <w:spacing w:line="240" w:lineRule="auto" w:before="15"/>
        <w:ind w:right="0"/>
        <w:jc w:val="center"/>
        <w:rPr>
          <w:b w:val="0"/>
          <w:bCs w:val="0"/>
        </w:rPr>
      </w:pPr>
      <w:r>
        <w:rPr>
          <w:w w:val="95"/>
        </w:rPr>
        <w:t>第五节</w:t>
        <w:tab/>
      </w:r>
      <w:r>
        <w:rPr>
          <w:spacing w:val="1"/>
        </w:rPr>
        <w:t>了解组成部分注册会计师</w:t>
      </w:r>
      <w:r>
        <w:rPr>
          <w:b w:val="0"/>
          <w:bCs w:val="0"/>
        </w:rPr>
      </w:r>
    </w:p>
    <w:p>
      <w:pPr>
        <w:spacing w:line="240" w:lineRule="auto" w:before="0"/>
        <w:rPr>
          <w:rFonts w:ascii="宋体" w:hAnsi="宋体" w:cs="宋体" w:eastAsia="宋体"/>
          <w:b/>
          <w:bCs/>
          <w:sz w:val="32"/>
          <w:szCs w:val="32"/>
        </w:rPr>
      </w:pPr>
    </w:p>
    <w:p>
      <w:pPr>
        <w:spacing w:line="240" w:lineRule="auto" w:before="2"/>
        <w:rPr>
          <w:rFonts w:ascii="宋体" w:hAnsi="宋体" w:cs="宋体" w:eastAsia="宋体"/>
          <w:b/>
          <w:bCs/>
          <w:sz w:val="28"/>
          <w:szCs w:val="28"/>
        </w:rPr>
      </w:pPr>
    </w:p>
    <w:p>
      <w:pPr>
        <w:pStyle w:val="BodyText"/>
        <w:tabs>
          <w:tab w:pos="2307" w:val="left" w:leader="none"/>
        </w:tabs>
        <w:spacing w:line="367" w:lineRule="auto" w:before="0"/>
        <w:ind w:right="112"/>
        <w:jc w:val="left"/>
      </w:pPr>
      <w:r>
        <w:rPr>
          <w:rFonts w:ascii="黑体" w:hAnsi="黑体" w:cs="黑体" w:eastAsia="黑体"/>
        </w:rPr>
        <w:t>第三十二条</w:t>
        <w:tab/>
      </w:r>
      <w:r>
        <w:rPr/>
        <w:t>如果计划要求组成部分注册会计师执行组成部分财务</w:t>
      </w:r>
      <w:r>
        <w:rPr/>
        <w:t> </w:t>
      </w:r>
      <w:r>
        <w:rPr>
          <w:spacing w:val="-1"/>
        </w:rPr>
        <w:t>信息的相关工作，集团项目组应当了解下列事项：</w:t>
      </w:r>
    </w:p>
    <w:p>
      <w:pPr>
        <w:pStyle w:val="BodyText"/>
        <w:spacing w:line="366" w:lineRule="auto" w:before="43"/>
        <w:ind w:right="112"/>
        <w:jc w:val="left"/>
      </w:pPr>
      <w:r>
        <w:rPr>
          <w:spacing w:val="7"/>
        </w:rPr>
        <w:t>（一）组成部分注册会计师是否了解并将遵守与集团审计相关的</w:t>
      </w:r>
      <w:r>
        <w:rPr>
          <w:spacing w:val="50"/>
        </w:rPr>
        <w:t> </w:t>
      </w:r>
      <w:r>
        <w:rPr>
          <w:spacing w:val="-1"/>
        </w:rPr>
        <w:t>职业道德要求，特别是独立性要求；</w:t>
      </w:r>
    </w:p>
    <w:p>
      <w:pPr>
        <w:pStyle w:val="BodyText"/>
        <w:spacing w:line="240" w:lineRule="auto" w:before="48"/>
        <w:ind w:left="677" w:right="0" w:firstLine="0"/>
        <w:jc w:val="left"/>
      </w:pPr>
      <w:r>
        <w:rPr>
          <w:spacing w:val="-1"/>
        </w:rPr>
        <w:t>（二）组成部分注册会计师是否具备专业胜任能力；</w:t>
      </w:r>
    </w:p>
    <w:p>
      <w:pPr>
        <w:pStyle w:val="BodyText"/>
        <w:spacing w:line="366" w:lineRule="auto"/>
        <w:ind w:right="112"/>
        <w:jc w:val="left"/>
      </w:pPr>
      <w:r>
        <w:rPr>
          <w:spacing w:val="7"/>
        </w:rPr>
        <w:t>（三）集团项目组参与组成部分注册会计师工作的程度是否足以</w:t>
      </w:r>
      <w:r>
        <w:rPr>
          <w:spacing w:val="42"/>
        </w:rPr>
        <w:t> </w:t>
      </w:r>
      <w:r>
        <w:rPr>
          <w:spacing w:val="-1"/>
        </w:rPr>
        <w:t>获取充分、适当的审计证据；</w:t>
      </w:r>
    </w:p>
    <w:p>
      <w:pPr>
        <w:pStyle w:val="BodyText"/>
        <w:spacing w:line="240" w:lineRule="auto" w:before="48"/>
        <w:ind w:left="677" w:right="0" w:firstLine="0"/>
        <w:jc w:val="left"/>
      </w:pPr>
      <w:r>
        <w:rPr>
          <w:spacing w:val="-1"/>
        </w:rPr>
        <w:t>（四）组成部分注册会计师是否处于积极的监管环境中。</w:t>
      </w:r>
    </w:p>
    <w:p>
      <w:pPr>
        <w:pStyle w:val="BodyText"/>
        <w:spacing w:line="366" w:lineRule="auto"/>
        <w:ind w:right="106"/>
        <w:jc w:val="both"/>
      </w:pPr>
      <w:r>
        <w:rPr>
          <w:rFonts w:ascii="黑体" w:hAnsi="黑体" w:cs="黑体" w:eastAsia="黑体"/>
        </w:rPr>
        <w:t>第三十三条</w:t>
      </w:r>
      <w:r>
        <w:rPr>
          <w:rFonts w:ascii="黑体" w:hAnsi="黑体" w:cs="黑体" w:eastAsia="黑体"/>
          <w:spacing w:val="86"/>
        </w:rPr>
        <w:t> </w:t>
      </w:r>
      <w:r>
        <w:rPr/>
        <w:t>如果组成部分注册会计师不符合与集团审计相关的独</w:t>
      </w:r>
      <w:r>
        <w:rPr/>
        <w:t> </w:t>
      </w:r>
      <w:r>
        <w:rPr>
          <w:spacing w:val="7"/>
        </w:rPr>
        <w:t>立性要求，或集团项目组对本准则第三十二条第（一）项至第（三）</w:t>
      </w:r>
      <w:r>
        <w:rPr>
          <w:spacing w:val="24"/>
        </w:rPr>
        <w:t> </w:t>
      </w:r>
      <w:r>
        <w:rPr>
          <w:spacing w:val="7"/>
        </w:rPr>
        <w:t>项所列事项存有重大疑虑，集团项目组应当就组成部分财务信息获取</w:t>
      </w:r>
      <w:r>
        <w:rPr>
          <w:spacing w:val="29"/>
        </w:rPr>
        <w:t> </w:t>
      </w:r>
      <w:r>
        <w:rPr>
          <w:spacing w:val="7"/>
        </w:rPr>
        <w:t>充分、适当的审计证据，而不应要求组成部分注册会计师对组成部分</w:t>
      </w:r>
      <w:r>
        <w:rPr>
          <w:spacing w:val="30"/>
        </w:rPr>
        <w:t> </w:t>
      </w:r>
      <w:r>
        <w:rPr>
          <w:spacing w:val="-1"/>
        </w:rPr>
        <w:t>财务信息执行相关工作。</w:t>
      </w:r>
    </w:p>
    <w:p>
      <w:pPr>
        <w:spacing w:line="240" w:lineRule="auto" w:before="0"/>
        <w:rPr>
          <w:rFonts w:ascii="宋体" w:hAnsi="宋体" w:cs="宋体" w:eastAsia="宋体"/>
          <w:sz w:val="28"/>
          <w:szCs w:val="28"/>
        </w:rPr>
      </w:pPr>
    </w:p>
    <w:p>
      <w:pPr>
        <w:spacing w:line="240" w:lineRule="auto" w:before="12"/>
        <w:rPr>
          <w:rFonts w:ascii="宋体" w:hAnsi="宋体" w:cs="宋体" w:eastAsia="宋体"/>
          <w:sz w:val="23"/>
          <w:szCs w:val="23"/>
        </w:rPr>
      </w:pPr>
    </w:p>
    <w:p>
      <w:pPr>
        <w:pStyle w:val="Heading1"/>
        <w:tabs>
          <w:tab w:pos="1283" w:val="left" w:leader="none"/>
        </w:tabs>
        <w:spacing w:line="240" w:lineRule="auto"/>
        <w:ind w:left="2" w:right="0"/>
        <w:jc w:val="center"/>
        <w:rPr>
          <w:b w:val="0"/>
          <w:bCs w:val="0"/>
        </w:rPr>
      </w:pPr>
      <w:r>
        <w:rPr>
          <w:w w:val="95"/>
        </w:rPr>
        <w:t>第六节</w:t>
        <w:tab/>
      </w:r>
      <w:r>
        <w:rPr>
          <w:spacing w:val="2"/>
        </w:rPr>
        <w:t>重要性</w:t>
      </w:r>
      <w:r>
        <w:rPr>
          <w:b w:val="0"/>
          <w:bCs w:val="0"/>
        </w:rPr>
      </w:r>
    </w:p>
    <w:p>
      <w:pPr>
        <w:spacing w:line="240" w:lineRule="auto" w:before="0"/>
        <w:rPr>
          <w:rFonts w:ascii="宋体" w:hAnsi="宋体" w:cs="宋体" w:eastAsia="宋体"/>
          <w:b/>
          <w:bCs/>
          <w:sz w:val="32"/>
          <w:szCs w:val="32"/>
        </w:rPr>
      </w:pPr>
    </w:p>
    <w:p>
      <w:pPr>
        <w:spacing w:line="240" w:lineRule="auto" w:before="3"/>
        <w:rPr>
          <w:rFonts w:ascii="宋体" w:hAnsi="宋体" w:cs="宋体" w:eastAsia="宋体"/>
          <w:b/>
          <w:bCs/>
          <w:sz w:val="25"/>
          <w:szCs w:val="25"/>
        </w:rPr>
      </w:pPr>
    </w:p>
    <w:p>
      <w:pPr>
        <w:pStyle w:val="BodyText"/>
        <w:spacing w:line="240" w:lineRule="auto" w:before="0"/>
        <w:ind w:left="677" w:right="0" w:firstLine="0"/>
        <w:jc w:val="left"/>
      </w:pPr>
      <w:r>
        <w:rPr>
          <w:rFonts w:ascii="黑体" w:hAnsi="黑体" w:cs="黑体" w:eastAsia="黑体"/>
          <w:spacing w:val="-1"/>
        </w:rPr>
        <w:t>第三十四条 </w:t>
      </w:r>
      <w:r>
        <w:rPr>
          <w:spacing w:val="-1"/>
        </w:rPr>
        <w:t>集团项目组应当确定与重要性相关的下列事项：</w:t>
      </w:r>
    </w:p>
    <w:p>
      <w:pPr>
        <w:pStyle w:val="BodyText"/>
        <w:spacing w:line="366" w:lineRule="auto"/>
        <w:ind w:right="112"/>
        <w:jc w:val="left"/>
      </w:pPr>
      <w:r>
        <w:rPr>
          <w:spacing w:val="7"/>
        </w:rPr>
        <w:t>（一）在制定集团总体审计策略时，确定集团财务报表整体的重</w:t>
      </w:r>
      <w:r>
        <w:rPr>
          <w:spacing w:val="42"/>
        </w:rPr>
        <w:t> </w:t>
      </w:r>
      <w:r>
        <w:rPr/>
        <w:t>要性。</w:t>
      </w:r>
    </w:p>
    <w:p>
      <w:pPr>
        <w:pStyle w:val="BodyText"/>
        <w:spacing w:line="240" w:lineRule="auto" w:before="48"/>
        <w:ind w:left="677" w:right="0" w:firstLine="0"/>
        <w:jc w:val="left"/>
      </w:pPr>
      <w:r>
        <w:rPr>
          <w:spacing w:val="7"/>
        </w:rPr>
        <w:t>（二）根据集团的特定情况，如果存在特定类别的交易、账户余</w:t>
      </w:r>
    </w:p>
    <w:p>
      <w:pPr>
        <w:spacing w:after="0" w:line="240" w:lineRule="auto"/>
        <w:jc w:val="left"/>
        <w:sectPr>
          <w:pgSz w:w="12240" w:h="15840"/>
          <w:pgMar w:header="0" w:footer="706" w:top="1500" w:bottom="900" w:left="1680" w:right="1680"/>
        </w:sectPr>
      </w:pPr>
    </w:p>
    <w:p>
      <w:pPr>
        <w:pStyle w:val="BodyText"/>
        <w:spacing w:line="366" w:lineRule="auto" w:before="62"/>
        <w:ind w:right="126" w:firstLine="0"/>
        <w:jc w:val="both"/>
      </w:pPr>
      <w:r>
        <w:rPr>
          <w:spacing w:val="7"/>
        </w:rPr>
        <w:t>额或披露，其发生的错报金额低于集团财务报表整体的重要性，但合</w:t>
      </w:r>
      <w:r>
        <w:rPr>
          <w:spacing w:val="26"/>
        </w:rPr>
        <w:t> </w:t>
      </w:r>
      <w:r>
        <w:rPr>
          <w:spacing w:val="7"/>
        </w:rPr>
        <w:t>理预期将影响财务报表使用者依据集团财务报表作出的经济决策，则</w:t>
      </w:r>
      <w:r>
        <w:rPr>
          <w:spacing w:val="28"/>
        </w:rPr>
        <w:t> </w:t>
      </w:r>
      <w:r>
        <w:rPr>
          <w:spacing w:val="-2"/>
        </w:rPr>
        <w:t>确定适用于这些交易、账户余额或披露的一个或多个重要性水平。</w:t>
      </w:r>
    </w:p>
    <w:p>
      <w:pPr>
        <w:pStyle w:val="BodyText"/>
        <w:spacing w:line="366" w:lineRule="auto" w:before="44"/>
        <w:ind w:right="126"/>
        <w:jc w:val="both"/>
      </w:pPr>
      <w:r>
        <w:rPr>
          <w:spacing w:val="7"/>
        </w:rPr>
        <w:t>（三）如果组成部分注册会计师对组成部分财务信息实施审计或</w:t>
      </w:r>
      <w:r>
        <w:rPr>
          <w:spacing w:val="42"/>
        </w:rPr>
        <w:t> </w:t>
      </w:r>
      <w:r>
        <w:rPr>
          <w:spacing w:val="7"/>
        </w:rPr>
        <w:t>审阅，基于集团审计目的，为这些组成部分确定组成部分重要性。为</w:t>
      </w:r>
      <w:r>
        <w:rPr>
          <w:spacing w:val="32"/>
        </w:rPr>
        <w:t> </w:t>
      </w:r>
      <w:r>
        <w:rPr>
          <w:spacing w:val="7"/>
        </w:rPr>
        <w:t>将未更正和未发现错报的汇总数超过集团财务报表整体的重要性的可</w:t>
      </w:r>
      <w:r>
        <w:rPr>
          <w:spacing w:val="29"/>
        </w:rPr>
        <w:t> </w:t>
      </w:r>
      <w:r>
        <w:rPr>
          <w:spacing w:val="7"/>
        </w:rPr>
        <w:t>能性降至适当的低水平，组成部分重要性应当低于集团财务报表整体</w:t>
      </w:r>
      <w:r>
        <w:rPr>
          <w:spacing w:val="24"/>
        </w:rPr>
        <w:t> </w:t>
      </w:r>
      <w:r>
        <w:rPr>
          <w:spacing w:val="-1"/>
        </w:rPr>
        <w:t>的重要性。</w:t>
      </w:r>
    </w:p>
    <w:p>
      <w:pPr>
        <w:pStyle w:val="BodyText"/>
        <w:spacing w:line="366" w:lineRule="auto" w:before="47"/>
        <w:ind w:right="119"/>
        <w:jc w:val="both"/>
      </w:pPr>
      <w:r>
        <w:rPr>
          <w:spacing w:val="8"/>
        </w:rPr>
        <w:t>（四）设定临界值，不能将超过该临界值的错报视为对集团财务</w:t>
      </w:r>
      <w:r>
        <w:rPr>
          <w:spacing w:val="36"/>
        </w:rPr>
        <w:t> </w:t>
      </w:r>
      <w:r>
        <w:rPr>
          <w:spacing w:val="-1"/>
        </w:rPr>
        <w:t>报表明显微小的错报。</w:t>
      </w:r>
    </w:p>
    <w:p>
      <w:pPr>
        <w:pStyle w:val="BodyText"/>
        <w:spacing w:line="240" w:lineRule="auto" w:before="45"/>
        <w:ind w:right="0"/>
        <w:jc w:val="both"/>
      </w:pPr>
      <w:r>
        <w:rPr>
          <w:rFonts w:ascii="黑体" w:hAnsi="黑体" w:cs="黑体" w:eastAsia="黑体"/>
        </w:rPr>
        <w:t>第三十五条</w:t>
      </w:r>
      <w:r>
        <w:rPr>
          <w:rFonts w:ascii="黑体" w:hAnsi="黑体" w:cs="黑体" w:eastAsia="黑体"/>
          <w:spacing w:val="86"/>
        </w:rPr>
        <w:t> </w:t>
      </w:r>
      <w:r>
        <w:rPr/>
        <w:t>如果基于集团审计目的，由组成部分注册会计师对组</w:t>
      </w:r>
    </w:p>
    <w:p>
      <w:pPr>
        <w:pStyle w:val="BodyText"/>
        <w:spacing w:line="305" w:lineRule="auto" w:before="195"/>
        <w:ind w:right="116" w:firstLine="0"/>
        <w:jc w:val="both"/>
        <w:rPr>
          <w:rFonts w:ascii="Malgun Gothic" w:hAnsi="Malgun Gothic" w:cs="Malgun Gothic" w:eastAsia="Malgun Gothic"/>
        </w:rPr>
      </w:pPr>
      <w:r>
        <w:rPr>
          <w:spacing w:val="7"/>
        </w:rPr>
        <w:t>成部分财务信息执行审计工作，集团项目组应当评价在组成部分层面</w:t>
      </w:r>
      <w:r>
        <w:rPr>
          <w:spacing w:val="55"/>
        </w:rPr>
        <w:t> </w:t>
      </w:r>
      <w:r>
        <w:rPr>
          <w:spacing w:val="-1"/>
        </w:rPr>
        <w:t>确定的实际执行的重要性的适当性</w:t>
      </w:r>
      <w:r>
        <w:rPr>
          <w:rFonts w:ascii="Malgun Gothic" w:hAnsi="Malgun Gothic" w:cs="Malgun Gothic" w:eastAsia="Malgun Gothic"/>
          <w:b/>
          <w:bCs/>
          <w:spacing w:val="-1"/>
        </w:rPr>
        <w:t>。</w:t>
      </w:r>
      <w:r>
        <w:rPr>
          <w:rFonts w:ascii="Malgun Gothic" w:hAnsi="Malgun Gothic" w:cs="Malgun Gothic" w:eastAsia="Malgun Gothic"/>
        </w:rPr>
      </w:r>
    </w:p>
    <w:p>
      <w:pPr>
        <w:pStyle w:val="BodyText"/>
        <w:spacing w:line="366" w:lineRule="auto" w:before="63"/>
        <w:ind w:right="124"/>
        <w:jc w:val="both"/>
      </w:pPr>
      <w:r>
        <w:rPr>
          <w:rFonts w:ascii="黑体" w:hAnsi="黑体" w:cs="黑体" w:eastAsia="黑体"/>
          <w:spacing w:val="7"/>
        </w:rPr>
        <w:t>第三十六条</w:t>
      </w:r>
      <w:r>
        <w:rPr>
          <w:rFonts w:ascii="黑体" w:hAnsi="黑体" w:cs="黑体" w:eastAsia="黑体"/>
          <w:spacing w:val="117"/>
        </w:rPr>
        <w:t> </w:t>
      </w:r>
      <w:r>
        <w:rPr>
          <w:spacing w:val="9"/>
        </w:rPr>
        <w:t>如果因法律法规或其他原因要求对组成部分进行审</w:t>
      </w:r>
      <w:r>
        <w:rPr>
          <w:spacing w:val="35"/>
        </w:rPr>
        <w:t> </w:t>
      </w:r>
      <w:r>
        <w:rPr>
          <w:spacing w:val="7"/>
        </w:rPr>
        <w:t>计，并且集团项目组决定利用该审计为集团审计提供审计证据，集团</w:t>
      </w:r>
      <w:r>
        <w:rPr>
          <w:spacing w:val="28"/>
        </w:rPr>
        <w:t> </w:t>
      </w:r>
      <w:r>
        <w:rPr>
          <w:spacing w:val="-1"/>
        </w:rPr>
        <w:t>项目组应当确定下列方面是否符合本准则的规定：</w:t>
      </w:r>
    </w:p>
    <w:p>
      <w:pPr>
        <w:pStyle w:val="BodyText"/>
        <w:spacing w:line="240" w:lineRule="auto" w:before="44"/>
        <w:ind w:left="677" w:right="0" w:firstLine="0"/>
        <w:jc w:val="left"/>
      </w:pPr>
      <w:r>
        <w:rPr>
          <w:spacing w:val="-1"/>
        </w:rPr>
        <w:t>（一）组成部分财务报表整体的重要性；</w:t>
      </w:r>
    </w:p>
    <w:p>
      <w:pPr>
        <w:pStyle w:val="BodyText"/>
        <w:spacing w:line="240" w:lineRule="auto" w:before="102"/>
        <w:ind w:left="677" w:right="0" w:firstLine="0"/>
        <w:jc w:val="left"/>
        <w:rPr>
          <w:rFonts w:ascii="Malgun Gothic" w:hAnsi="Malgun Gothic" w:cs="Malgun Gothic" w:eastAsia="Malgun Gothic"/>
        </w:rPr>
      </w:pPr>
      <w:r>
        <w:rPr>
          <w:spacing w:val="-1"/>
        </w:rPr>
        <w:t>（二）组成部分层面实际执行的重要性</w:t>
      </w:r>
      <w:r>
        <w:rPr>
          <w:rFonts w:ascii="Malgun Gothic" w:hAnsi="Malgun Gothic" w:cs="Malgun Gothic" w:eastAsia="Malgun Gothic"/>
          <w:b/>
          <w:bCs/>
          <w:spacing w:val="-1"/>
        </w:rPr>
        <w:t>。</w:t>
      </w:r>
      <w:r>
        <w:rPr>
          <w:rFonts w:ascii="Malgun Gothic" w:hAnsi="Malgun Gothic" w:cs="Malgun Gothic" w:eastAsia="Malgun Gothic"/>
        </w:rPr>
      </w:r>
    </w:p>
    <w:p>
      <w:pPr>
        <w:spacing w:line="240" w:lineRule="auto" w:before="0"/>
        <w:rPr>
          <w:rFonts w:ascii="Malgun Gothic" w:hAnsi="Malgun Gothic" w:cs="Malgun Gothic" w:eastAsia="Malgun Gothic"/>
          <w:b/>
          <w:bCs/>
          <w:sz w:val="28"/>
          <w:szCs w:val="28"/>
        </w:rPr>
      </w:pPr>
    </w:p>
    <w:p>
      <w:pPr>
        <w:spacing w:line="240" w:lineRule="auto" w:before="14"/>
        <w:rPr>
          <w:rFonts w:ascii="Malgun Gothic" w:hAnsi="Malgun Gothic" w:cs="Malgun Gothic" w:eastAsia="Malgun Gothic"/>
          <w:b/>
          <w:bCs/>
          <w:sz w:val="17"/>
          <w:szCs w:val="17"/>
        </w:rPr>
      </w:pPr>
    </w:p>
    <w:p>
      <w:pPr>
        <w:pStyle w:val="Heading1"/>
        <w:tabs>
          <w:tab w:pos="2832" w:val="left" w:leader="none"/>
        </w:tabs>
        <w:spacing w:line="240" w:lineRule="auto"/>
        <w:ind w:left="1550" w:right="0"/>
        <w:jc w:val="left"/>
        <w:rPr>
          <w:b w:val="0"/>
          <w:bCs w:val="0"/>
        </w:rPr>
      </w:pPr>
      <w:r>
        <w:rPr>
          <w:w w:val="95"/>
        </w:rPr>
        <w:t>第七节</w:t>
        <w:tab/>
      </w:r>
      <w:r>
        <w:rPr>
          <w:spacing w:val="1"/>
        </w:rPr>
        <w:t>针对评估的风险采取的应对措施</w:t>
      </w:r>
      <w:r>
        <w:rPr>
          <w:b w:val="0"/>
          <w:bCs w:val="0"/>
        </w:rPr>
      </w:r>
    </w:p>
    <w:p>
      <w:pPr>
        <w:spacing w:line="240" w:lineRule="auto" w:before="0"/>
        <w:rPr>
          <w:rFonts w:ascii="宋体" w:hAnsi="宋体" w:cs="宋体" w:eastAsia="宋体"/>
          <w:b/>
          <w:bCs/>
          <w:sz w:val="32"/>
          <w:szCs w:val="32"/>
        </w:rPr>
      </w:pPr>
    </w:p>
    <w:p>
      <w:pPr>
        <w:spacing w:line="240" w:lineRule="auto" w:before="3"/>
        <w:rPr>
          <w:rFonts w:ascii="宋体" w:hAnsi="宋体" w:cs="宋体" w:eastAsia="宋体"/>
          <w:b/>
          <w:bCs/>
          <w:sz w:val="25"/>
          <w:szCs w:val="25"/>
        </w:rPr>
      </w:pPr>
    </w:p>
    <w:p>
      <w:pPr>
        <w:pStyle w:val="BodyText"/>
        <w:tabs>
          <w:tab w:pos="2307" w:val="left" w:leader="none"/>
        </w:tabs>
        <w:spacing w:line="240" w:lineRule="auto" w:before="0"/>
        <w:ind w:left="677" w:right="0" w:firstLine="0"/>
        <w:jc w:val="left"/>
      </w:pPr>
      <w:r>
        <w:rPr>
          <w:rFonts w:ascii="黑体" w:hAnsi="黑体" w:cs="黑体" w:eastAsia="黑体"/>
        </w:rPr>
        <w:t>第三十七条</w:t>
        <w:tab/>
      </w:r>
      <w:r>
        <w:rPr/>
        <w:t>注册会计师应当针对评估的财务报表重大错报风险设</w:t>
      </w:r>
    </w:p>
    <w:p>
      <w:pPr>
        <w:spacing w:after="0" w:line="240" w:lineRule="auto"/>
        <w:jc w:val="left"/>
        <w:sectPr>
          <w:pgSz w:w="12240" w:h="15840"/>
          <w:pgMar w:header="0" w:footer="706" w:top="1500" w:bottom="900" w:left="1680" w:right="1660"/>
        </w:sectPr>
      </w:pPr>
    </w:p>
    <w:p>
      <w:pPr>
        <w:pStyle w:val="BodyText"/>
        <w:spacing w:line="366" w:lineRule="auto" w:before="62"/>
        <w:ind w:left="677" w:right="0" w:hanging="560"/>
        <w:jc w:val="left"/>
      </w:pPr>
      <w:r>
        <w:rPr>
          <w:spacing w:val="-1"/>
        </w:rPr>
        <w:t>计和实施恰当的应对措施。</w:t>
      </w:r>
      <w:r>
        <w:rPr>
          <w:spacing w:val="24"/>
        </w:rPr>
        <w:t> </w:t>
      </w:r>
      <w:r>
        <w:rPr>
          <w:spacing w:val="7"/>
        </w:rPr>
        <w:t>对于组成部分财务信息，集团项目组应当确定由其亲自执行或由</w:t>
      </w:r>
    </w:p>
    <w:p>
      <w:pPr>
        <w:pStyle w:val="BodyText"/>
        <w:spacing w:line="366" w:lineRule="auto" w:before="48"/>
        <w:ind w:right="112" w:firstLine="0"/>
        <w:jc w:val="left"/>
      </w:pPr>
      <w:r>
        <w:rPr>
          <w:spacing w:val="7"/>
        </w:rPr>
        <w:t>组成部分注册会计师代为执行的相关工作的类型。集团项目组还应当</w:t>
      </w:r>
      <w:r>
        <w:rPr>
          <w:spacing w:val="26"/>
        </w:rPr>
        <w:t> </w:t>
      </w:r>
      <w:r>
        <w:rPr>
          <w:spacing w:val="-1"/>
        </w:rPr>
        <w:t>确定参与组成部分注册会计师工作的性质、时间安排和范围。</w:t>
      </w:r>
    </w:p>
    <w:p>
      <w:pPr>
        <w:pStyle w:val="BodyText"/>
        <w:spacing w:line="367" w:lineRule="auto" w:before="45"/>
        <w:ind w:right="108"/>
        <w:jc w:val="both"/>
      </w:pPr>
      <w:r>
        <w:rPr>
          <w:rFonts w:ascii="黑体" w:hAnsi="黑体" w:cs="黑体" w:eastAsia="黑体"/>
        </w:rPr>
        <w:t>第三十八条</w:t>
      </w:r>
      <w:r>
        <w:rPr>
          <w:rFonts w:ascii="黑体" w:hAnsi="黑体" w:cs="黑体" w:eastAsia="黑体"/>
          <w:spacing w:val="86"/>
        </w:rPr>
        <w:t> </w:t>
      </w:r>
      <w:r>
        <w:rPr/>
        <w:t>在确定对合并过程或组成部分财务信息拟执行的工作</w:t>
      </w:r>
      <w:r>
        <w:rPr/>
        <w:t> </w:t>
      </w:r>
      <w:r>
        <w:rPr>
          <w:spacing w:val="7"/>
        </w:rPr>
        <w:t>的性质、时间安排和范围时，如果预期集团层面控制运行有效，或者</w:t>
      </w:r>
      <w:r>
        <w:rPr>
          <w:spacing w:val="24"/>
        </w:rPr>
        <w:t> </w:t>
      </w:r>
      <w:r>
        <w:rPr>
          <w:spacing w:val="7"/>
        </w:rPr>
        <w:t>仅实施实质性程序不能提供认定层次的充分、适当的审计证据，集团</w:t>
      </w:r>
      <w:r>
        <w:rPr>
          <w:spacing w:val="22"/>
        </w:rPr>
        <w:t> </w:t>
      </w:r>
      <w:r>
        <w:rPr>
          <w:spacing w:val="7"/>
        </w:rPr>
        <w:t>项目组应当测试或要求组成部分注册会计师测试这些控制运行的有效</w:t>
      </w:r>
      <w:r>
        <w:rPr>
          <w:spacing w:val="28"/>
        </w:rPr>
        <w:t> </w:t>
      </w:r>
      <w:r>
        <w:rPr/>
        <w:t>性。</w:t>
      </w:r>
    </w:p>
    <w:p>
      <w:pPr>
        <w:pStyle w:val="BodyText"/>
        <w:spacing w:line="366" w:lineRule="auto" w:before="44"/>
        <w:ind w:right="106"/>
        <w:jc w:val="both"/>
      </w:pPr>
      <w:r>
        <w:rPr>
          <w:rFonts w:ascii="黑体" w:hAnsi="黑体" w:cs="黑体" w:eastAsia="黑体"/>
        </w:rPr>
        <w:t>第三十九条</w:t>
      </w:r>
      <w:r>
        <w:rPr>
          <w:rFonts w:ascii="黑体" w:hAnsi="黑体" w:cs="黑体" w:eastAsia="黑体"/>
          <w:spacing w:val="86"/>
        </w:rPr>
        <w:t> </w:t>
      </w:r>
      <w:r>
        <w:rPr/>
        <w:t>就集团而言，对于具有财务重大性的单个组成部分，</w:t>
      </w:r>
      <w:r>
        <w:rPr/>
        <w:t> </w:t>
      </w:r>
      <w:r>
        <w:rPr>
          <w:spacing w:val="7"/>
        </w:rPr>
        <w:t>集团项目组或代表集团项目组的组成部分注册会计师应当运用该组成</w:t>
      </w:r>
      <w:r>
        <w:rPr>
          <w:spacing w:val="28"/>
        </w:rPr>
        <w:t> </w:t>
      </w:r>
      <w:r>
        <w:rPr>
          <w:spacing w:val="-1"/>
        </w:rPr>
        <w:t>部分的重要性，对组成部分财务信息实施审计。</w:t>
      </w:r>
    </w:p>
    <w:p>
      <w:pPr>
        <w:pStyle w:val="BodyText"/>
        <w:spacing w:line="367" w:lineRule="auto" w:before="44"/>
        <w:ind w:right="108"/>
        <w:jc w:val="both"/>
      </w:pPr>
      <w:r>
        <w:rPr>
          <w:rFonts w:ascii="黑体" w:hAnsi="黑体" w:cs="黑体" w:eastAsia="黑体"/>
        </w:rPr>
        <w:t>第四十条</w:t>
      </w:r>
      <w:r>
        <w:rPr>
          <w:rFonts w:ascii="黑体" w:hAnsi="黑体" w:cs="黑体" w:eastAsia="黑体"/>
          <w:spacing w:val="85"/>
        </w:rPr>
        <w:t> </w:t>
      </w:r>
      <w:r>
        <w:rPr/>
        <w:t>对由于其特定性质或情况，可能存在导致集团财务报表</w:t>
      </w:r>
      <w:r>
        <w:rPr/>
        <w:t> </w:t>
      </w:r>
      <w:r>
        <w:rPr>
          <w:spacing w:val="7"/>
        </w:rPr>
        <w:t>发生重大错报的特别风险的重要组成部分，集团项目组或代表集团项</w:t>
      </w:r>
      <w:r>
        <w:rPr>
          <w:spacing w:val="30"/>
        </w:rPr>
        <w:t> </w:t>
      </w:r>
      <w:r>
        <w:rPr>
          <w:spacing w:val="-2"/>
        </w:rPr>
        <w:t>目组的组成部分注册会计师应当执行下列一项或多项工作：</w:t>
      </w:r>
    </w:p>
    <w:p>
      <w:pPr>
        <w:pStyle w:val="BodyText"/>
        <w:spacing w:line="240" w:lineRule="auto" w:before="44"/>
        <w:ind w:left="677" w:right="0" w:firstLine="0"/>
        <w:jc w:val="left"/>
      </w:pPr>
      <w:r>
        <w:rPr>
          <w:spacing w:val="-1"/>
        </w:rPr>
        <w:t>（一）使用组成部分重要性对组成部分财务信息实施审计；</w:t>
      </w:r>
    </w:p>
    <w:p>
      <w:pPr>
        <w:pStyle w:val="BodyText"/>
        <w:spacing w:line="367" w:lineRule="auto"/>
        <w:ind w:right="108"/>
        <w:jc w:val="both"/>
      </w:pPr>
      <w:r>
        <w:rPr>
          <w:spacing w:val="7"/>
        </w:rPr>
        <w:t>（二）针对与可能导致集团财务报表发生重大错报的特别风险相</w:t>
      </w:r>
      <w:r>
        <w:rPr>
          <w:spacing w:val="50"/>
        </w:rPr>
        <w:t> </w:t>
      </w:r>
      <w:r>
        <w:rPr>
          <w:spacing w:val="-1"/>
        </w:rPr>
        <w:t>关的一个或多个账户余额、一类或多类交易或披露事项实施审计；</w:t>
      </w:r>
    </w:p>
    <w:p>
      <w:pPr>
        <w:pStyle w:val="BodyText"/>
        <w:spacing w:line="366" w:lineRule="auto" w:before="43"/>
        <w:ind w:right="110"/>
        <w:jc w:val="both"/>
      </w:pPr>
      <w:r>
        <w:rPr>
          <w:spacing w:val="7"/>
        </w:rPr>
        <w:t>（三）针对可能导致集团财务报表发生重大错报的特别风险实施</w:t>
      </w:r>
      <w:r>
        <w:rPr>
          <w:spacing w:val="50"/>
        </w:rPr>
        <w:t> </w:t>
      </w:r>
      <w:r>
        <w:rPr>
          <w:spacing w:val="-1"/>
        </w:rPr>
        <w:t>特定的审计程序。</w:t>
      </w:r>
    </w:p>
    <w:p>
      <w:pPr>
        <w:pStyle w:val="BodyText"/>
        <w:spacing w:line="366" w:lineRule="auto" w:before="47"/>
        <w:ind w:right="111"/>
        <w:jc w:val="both"/>
      </w:pPr>
      <w:r>
        <w:rPr>
          <w:rFonts w:ascii="黑体" w:hAnsi="黑体" w:cs="黑体" w:eastAsia="黑体"/>
        </w:rPr>
        <w:t>第四十一条</w:t>
      </w:r>
      <w:r>
        <w:rPr>
          <w:rFonts w:ascii="黑体" w:hAnsi="黑体" w:cs="黑体" w:eastAsia="黑体"/>
          <w:spacing w:val="86"/>
        </w:rPr>
        <w:t> </w:t>
      </w:r>
      <w:r>
        <w:rPr/>
        <w:t>对于不重要的组成部分，集团项目组应当在集团层面</w:t>
      </w:r>
      <w:r>
        <w:rPr>
          <w:spacing w:val="21"/>
        </w:rPr>
        <w:t> </w:t>
      </w:r>
      <w:r>
        <w:rPr>
          <w:spacing w:val="-1"/>
        </w:rPr>
        <w:t>实施分析程序。</w:t>
      </w:r>
    </w:p>
    <w:p>
      <w:pPr>
        <w:pStyle w:val="BodyText"/>
        <w:tabs>
          <w:tab w:pos="2307" w:val="left" w:leader="none"/>
        </w:tabs>
        <w:spacing w:line="240" w:lineRule="auto" w:before="45"/>
        <w:ind w:left="677" w:right="0" w:firstLine="0"/>
        <w:jc w:val="left"/>
      </w:pPr>
      <w:r>
        <w:rPr>
          <w:rFonts w:ascii="黑体" w:hAnsi="黑体" w:cs="黑体" w:eastAsia="黑体"/>
        </w:rPr>
        <w:t>第四十二条</w:t>
        <w:tab/>
      </w:r>
      <w:r>
        <w:rPr/>
        <w:t>如果集团项目组认为执行下列工作不能获取形成集团</w:t>
      </w:r>
    </w:p>
    <w:p>
      <w:pPr>
        <w:spacing w:after="0" w:line="240" w:lineRule="auto"/>
        <w:jc w:val="left"/>
        <w:sectPr>
          <w:pgSz w:w="12240" w:h="15840"/>
          <w:pgMar w:header="0" w:footer="706" w:top="1500" w:bottom="900" w:left="1680" w:right="1680"/>
        </w:sectPr>
      </w:pPr>
    </w:p>
    <w:p>
      <w:pPr>
        <w:pStyle w:val="BodyText"/>
        <w:spacing w:line="366" w:lineRule="auto" w:before="62"/>
        <w:ind w:right="128" w:firstLine="0"/>
        <w:jc w:val="both"/>
      </w:pPr>
      <w:r>
        <w:rPr>
          <w:spacing w:val="7"/>
        </w:rPr>
        <w:t>审计意见所依据的充分、适当的审计证据，应当采取本条第二款规定</w:t>
      </w:r>
      <w:r>
        <w:rPr>
          <w:spacing w:val="24"/>
        </w:rPr>
        <w:t> </w:t>
      </w:r>
      <w:r>
        <w:rPr>
          <w:spacing w:val="-1"/>
        </w:rPr>
        <w:t>的措施：</w:t>
      </w:r>
    </w:p>
    <w:p>
      <w:pPr>
        <w:pStyle w:val="BodyText"/>
        <w:spacing w:line="240" w:lineRule="auto" w:before="48"/>
        <w:ind w:left="677" w:right="0" w:firstLine="0"/>
        <w:jc w:val="left"/>
      </w:pPr>
      <w:r>
        <w:rPr>
          <w:spacing w:val="-1"/>
        </w:rPr>
        <w:t>（一）对重要组成部分财务信息执行的工作；</w:t>
      </w:r>
    </w:p>
    <w:p>
      <w:pPr>
        <w:pStyle w:val="BodyText"/>
        <w:spacing w:line="240" w:lineRule="auto"/>
        <w:ind w:left="677" w:right="0" w:firstLine="0"/>
        <w:jc w:val="left"/>
      </w:pPr>
      <w:r>
        <w:rPr>
          <w:spacing w:val="-1"/>
        </w:rPr>
        <w:t>（二）对集团层面控制和合并过程执行的工作；</w:t>
      </w:r>
    </w:p>
    <w:p>
      <w:pPr>
        <w:pStyle w:val="BodyText"/>
        <w:spacing w:line="367" w:lineRule="auto"/>
        <w:ind w:left="677" w:right="0" w:firstLine="0"/>
        <w:jc w:val="left"/>
      </w:pPr>
      <w:r>
        <w:rPr>
          <w:spacing w:val="-1"/>
        </w:rPr>
        <w:t>（三）在集团层面实施的分析程序。</w:t>
      </w:r>
      <w:r>
        <w:rPr>
          <w:spacing w:val="23"/>
        </w:rPr>
        <w:t> </w:t>
      </w:r>
      <w:r>
        <w:rPr>
          <w:spacing w:val="7"/>
        </w:rPr>
        <w:t>集团项目组应当选择某些不重要的组成部分，并对已选择的组成</w:t>
      </w:r>
    </w:p>
    <w:p>
      <w:pPr>
        <w:pStyle w:val="BodyText"/>
        <w:spacing w:line="366" w:lineRule="auto" w:before="44"/>
        <w:ind w:right="129" w:firstLine="0"/>
        <w:jc w:val="both"/>
      </w:pPr>
      <w:r>
        <w:rPr>
          <w:spacing w:val="7"/>
        </w:rPr>
        <w:t>部分财务信息亲自执行或由代表集团项目组的组成部分注册会计师执</w:t>
      </w:r>
      <w:r>
        <w:rPr>
          <w:spacing w:val="26"/>
        </w:rPr>
        <w:t> </w:t>
      </w:r>
      <w:r>
        <w:rPr>
          <w:spacing w:val="-1"/>
        </w:rPr>
        <w:t>行下列一项或多项工作：</w:t>
      </w:r>
    </w:p>
    <w:p>
      <w:pPr>
        <w:pStyle w:val="BodyText"/>
        <w:spacing w:line="240" w:lineRule="auto" w:before="48"/>
        <w:ind w:left="677" w:right="0" w:firstLine="0"/>
        <w:jc w:val="left"/>
      </w:pPr>
      <w:r>
        <w:rPr>
          <w:spacing w:val="-1"/>
        </w:rPr>
        <w:t>（一）使用组成部分重要性对组成部分财务信息实施审计；</w:t>
      </w:r>
    </w:p>
    <w:p>
      <w:pPr>
        <w:pStyle w:val="BodyText"/>
        <w:spacing w:line="366" w:lineRule="auto"/>
        <w:ind w:right="0"/>
        <w:jc w:val="left"/>
      </w:pPr>
      <w:r>
        <w:rPr>
          <w:spacing w:val="19"/>
        </w:rPr>
        <w:t>（二）对一个或多个账户余额、一类或多类交易或披露实施审</w:t>
      </w:r>
      <w:r>
        <w:rPr>
          <w:spacing w:val="41"/>
        </w:rPr>
        <w:t> </w:t>
      </w:r>
      <w:r>
        <w:rPr/>
        <w:t>计；</w:t>
      </w:r>
    </w:p>
    <w:p>
      <w:pPr>
        <w:pStyle w:val="BodyText"/>
        <w:spacing w:line="240" w:lineRule="auto" w:before="48"/>
        <w:ind w:left="677" w:right="0" w:firstLine="0"/>
        <w:jc w:val="left"/>
      </w:pPr>
      <w:r>
        <w:rPr>
          <w:spacing w:val="-1"/>
        </w:rPr>
        <w:t>（三）使用组成部分重要性对组成部分财务信息实施审阅；</w:t>
      </w:r>
    </w:p>
    <w:p>
      <w:pPr>
        <w:pStyle w:val="BodyText"/>
        <w:tabs>
          <w:tab w:pos="2307" w:val="left" w:leader="none"/>
        </w:tabs>
        <w:spacing w:line="367" w:lineRule="auto"/>
        <w:ind w:left="677" w:right="131" w:firstLine="0"/>
        <w:jc w:val="left"/>
      </w:pPr>
      <w:r>
        <w:rPr>
          <w:spacing w:val="-1"/>
        </w:rPr>
        <w:t>（四）实施特定程序。</w:t>
      </w:r>
      <w:r>
        <w:rPr>
          <w:spacing w:val="22"/>
        </w:rPr>
        <w:t> </w:t>
      </w:r>
      <w:r>
        <w:rPr>
          <w:spacing w:val="-2"/>
        </w:rPr>
        <w:t>集团项目组应当在一段时间之后更换所选择的组成部分。</w:t>
      </w:r>
      <w:r>
        <w:rPr>
          <w:spacing w:val="47"/>
        </w:rPr>
        <w:t> </w:t>
      </w:r>
      <w:r>
        <w:rPr>
          <w:rFonts w:ascii="黑体" w:hAnsi="黑体" w:cs="黑体" w:eastAsia="黑体"/>
        </w:rPr>
        <w:t>第四十三条</w:t>
        <w:tab/>
      </w:r>
      <w:r>
        <w:rPr/>
        <w:t>如果组成部分注册会计师对重要组成部分财务信息执</w:t>
      </w:r>
    </w:p>
    <w:p>
      <w:pPr>
        <w:pStyle w:val="BodyText"/>
        <w:spacing w:line="366" w:lineRule="auto" w:before="44"/>
        <w:ind w:right="128" w:firstLine="0"/>
        <w:jc w:val="both"/>
      </w:pPr>
      <w:r>
        <w:rPr>
          <w:spacing w:val="7"/>
        </w:rPr>
        <w:t>行审计，集团项目组应当参与组成部分注册会计师实施的风险评估程</w:t>
      </w:r>
      <w:r>
        <w:rPr>
          <w:spacing w:val="28"/>
        </w:rPr>
        <w:t> </w:t>
      </w:r>
      <w:r>
        <w:rPr>
          <w:spacing w:val="7"/>
        </w:rPr>
        <w:t>序，以识别导致集团财务报表发生重大错报的特别风险。集团项目组</w:t>
      </w:r>
      <w:r>
        <w:rPr>
          <w:spacing w:val="26"/>
        </w:rPr>
        <w:t> </w:t>
      </w:r>
      <w:r>
        <w:rPr>
          <w:spacing w:val="7"/>
        </w:rPr>
        <w:t>参与的性质、时间安排和范围受其对组成部分注册会计师所了解情况</w:t>
      </w:r>
      <w:r>
        <w:rPr>
          <w:spacing w:val="22"/>
        </w:rPr>
        <w:t> </w:t>
      </w:r>
      <w:r>
        <w:rPr>
          <w:spacing w:val="-1"/>
        </w:rPr>
        <w:t>的影响，但至少应当包括：</w:t>
      </w:r>
    </w:p>
    <w:p>
      <w:pPr>
        <w:pStyle w:val="BodyText"/>
        <w:spacing w:line="367" w:lineRule="auto" w:before="45"/>
        <w:ind w:right="0"/>
        <w:jc w:val="left"/>
      </w:pPr>
      <w:r>
        <w:rPr>
          <w:spacing w:val="7"/>
        </w:rPr>
        <w:t>（一）与组成部分注册会计师或组成部分管理层讨论对集团而言</w:t>
      </w:r>
      <w:r>
        <w:rPr>
          <w:spacing w:val="46"/>
        </w:rPr>
        <w:t> </w:t>
      </w:r>
      <w:r>
        <w:rPr>
          <w:spacing w:val="-1"/>
        </w:rPr>
        <w:t>重要的组成部分业务活动；</w:t>
      </w:r>
    </w:p>
    <w:p>
      <w:pPr>
        <w:pStyle w:val="BodyText"/>
        <w:spacing w:line="366" w:lineRule="auto" w:before="43"/>
        <w:ind w:right="0"/>
        <w:jc w:val="left"/>
      </w:pPr>
      <w:r>
        <w:rPr>
          <w:spacing w:val="7"/>
        </w:rPr>
        <w:t>（二）与组成部分注册会计师讨论由于舞弊或错误导致组成部分</w:t>
      </w:r>
      <w:r>
        <w:rPr>
          <w:spacing w:val="50"/>
        </w:rPr>
        <w:t> </w:t>
      </w:r>
      <w:r>
        <w:rPr>
          <w:spacing w:val="-1"/>
        </w:rPr>
        <w:t>财务信息发生重大错报的可能性；</w:t>
      </w:r>
    </w:p>
    <w:p>
      <w:pPr>
        <w:spacing w:after="0" w:line="366" w:lineRule="auto"/>
        <w:jc w:val="left"/>
        <w:sectPr>
          <w:pgSz w:w="12240" w:h="15840"/>
          <w:pgMar w:header="0" w:footer="706" w:top="1500" w:bottom="900" w:left="1680" w:right="1660"/>
        </w:sectPr>
      </w:pPr>
    </w:p>
    <w:p>
      <w:pPr>
        <w:pStyle w:val="BodyText"/>
        <w:spacing w:line="366" w:lineRule="auto" w:before="62"/>
        <w:ind w:right="127"/>
        <w:jc w:val="both"/>
      </w:pPr>
      <w:r>
        <w:rPr>
          <w:spacing w:val="7"/>
        </w:rPr>
        <w:t>（三）复核组成部分注册会计师对识别出的导致集团财务报表发</w:t>
      </w:r>
      <w:r>
        <w:rPr>
          <w:spacing w:val="54"/>
        </w:rPr>
        <w:t> </w:t>
      </w:r>
      <w:r>
        <w:rPr>
          <w:spacing w:val="7"/>
        </w:rPr>
        <w:t>生重大错报的特别风险形成的审计工作底稿。审计工作底稿可以采用</w:t>
      </w:r>
      <w:r>
        <w:rPr>
          <w:spacing w:val="24"/>
        </w:rPr>
        <w:t> </w:t>
      </w:r>
      <w:r>
        <w:rPr>
          <w:spacing w:val="7"/>
        </w:rPr>
        <w:t>备忘录的形式，反映组成部分注册会计师针对识别出的特别风险得出</w:t>
      </w:r>
      <w:r>
        <w:rPr>
          <w:spacing w:val="28"/>
        </w:rPr>
        <w:t> </w:t>
      </w:r>
      <w:r>
        <w:rPr/>
        <w:t>的结论。</w:t>
      </w:r>
    </w:p>
    <w:p>
      <w:pPr>
        <w:pStyle w:val="BodyText"/>
        <w:spacing w:line="367" w:lineRule="auto" w:before="45"/>
        <w:ind w:right="128"/>
        <w:jc w:val="both"/>
      </w:pPr>
      <w:r>
        <w:rPr>
          <w:rFonts w:ascii="黑体" w:hAnsi="黑体" w:cs="黑体" w:eastAsia="黑体"/>
        </w:rPr>
        <w:t>第四十四条</w:t>
      </w:r>
      <w:r>
        <w:rPr>
          <w:rFonts w:ascii="黑体" w:hAnsi="黑体" w:cs="黑体" w:eastAsia="黑体"/>
          <w:spacing w:val="86"/>
        </w:rPr>
        <w:t> </w:t>
      </w:r>
      <w:r>
        <w:rPr/>
        <w:t>如果在由组成部分注册会计师执行相关工作的组成部</w:t>
      </w:r>
      <w:r>
        <w:rPr>
          <w:spacing w:val="21"/>
        </w:rPr>
        <w:t> </w:t>
      </w:r>
      <w:r>
        <w:rPr>
          <w:spacing w:val="7"/>
        </w:rPr>
        <w:t>分内，识别出导致集团财务报表发生重大错报的特别风险，集团项目</w:t>
      </w:r>
      <w:r>
        <w:rPr>
          <w:spacing w:val="29"/>
        </w:rPr>
        <w:t> </w:t>
      </w:r>
      <w:r>
        <w:rPr>
          <w:spacing w:val="16"/>
        </w:rPr>
        <w:t>组应当评价针对识别出的特别风险拟实施的进一步审计程序的恰当</w:t>
      </w:r>
      <w:r>
        <w:rPr>
          <w:spacing w:val="54"/>
        </w:rPr>
        <w:t> </w:t>
      </w:r>
      <w:r>
        <w:rPr>
          <w:spacing w:val="7"/>
        </w:rPr>
        <w:t>性。根据对组成部分注册会计师的了解，集团项目组应当确定是否有</w:t>
      </w:r>
      <w:r>
        <w:rPr>
          <w:spacing w:val="28"/>
        </w:rPr>
        <w:t> </w:t>
      </w:r>
      <w:r>
        <w:rPr>
          <w:spacing w:val="-1"/>
        </w:rPr>
        <w:t>必要参与进一步审计程序。</w:t>
      </w:r>
    </w:p>
    <w:p>
      <w:pPr>
        <w:spacing w:line="240" w:lineRule="auto" w:before="0"/>
        <w:rPr>
          <w:rFonts w:ascii="宋体" w:hAnsi="宋体" w:cs="宋体" w:eastAsia="宋体"/>
          <w:sz w:val="28"/>
          <w:szCs w:val="28"/>
        </w:rPr>
      </w:pPr>
    </w:p>
    <w:p>
      <w:pPr>
        <w:spacing w:line="240" w:lineRule="auto" w:before="9"/>
        <w:rPr>
          <w:rFonts w:ascii="宋体" w:hAnsi="宋体" w:cs="宋体" w:eastAsia="宋体"/>
          <w:sz w:val="23"/>
          <w:szCs w:val="23"/>
        </w:rPr>
      </w:pPr>
    </w:p>
    <w:p>
      <w:pPr>
        <w:pStyle w:val="Heading1"/>
        <w:tabs>
          <w:tab w:pos="1281" w:val="left" w:leader="none"/>
        </w:tabs>
        <w:spacing w:line="240" w:lineRule="auto"/>
        <w:ind w:right="16"/>
        <w:jc w:val="center"/>
        <w:rPr>
          <w:b w:val="0"/>
          <w:bCs w:val="0"/>
        </w:rPr>
      </w:pPr>
      <w:r>
        <w:rPr>
          <w:w w:val="95"/>
        </w:rPr>
        <w:t>第八节</w:t>
        <w:tab/>
      </w:r>
      <w:r>
        <w:rPr>
          <w:spacing w:val="2"/>
        </w:rPr>
        <w:t>合并过程</w:t>
      </w:r>
      <w:r>
        <w:rPr>
          <w:b w:val="0"/>
          <w:bCs w:val="0"/>
        </w:rPr>
      </w:r>
    </w:p>
    <w:p>
      <w:pPr>
        <w:spacing w:line="240" w:lineRule="auto" w:before="0"/>
        <w:rPr>
          <w:rFonts w:ascii="宋体" w:hAnsi="宋体" w:cs="宋体" w:eastAsia="宋体"/>
          <w:b/>
          <w:bCs/>
          <w:sz w:val="32"/>
          <w:szCs w:val="32"/>
        </w:rPr>
      </w:pPr>
    </w:p>
    <w:p>
      <w:pPr>
        <w:spacing w:line="240" w:lineRule="auto" w:before="5"/>
        <w:rPr>
          <w:rFonts w:ascii="宋体" w:hAnsi="宋体" w:cs="宋体" w:eastAsia="宋体"/>
          <w:b/>
          <w:bCs/>
          <w:sz w:val="28"/>
          <w:szCs w:val="28"/>
        </w:rPr>
      </w:pPr>
    </w:p>
    <w:p>
      <w:pPr>
        <w:pStyle w:val="BodyText"/>
        <w:spacing w:line="366" w:lineRule="auto" w:before="0"/>
        <w:ind w:right="131"/>
        <w:jc w:val="both"/>
      </w:pPr>
      <w:r>
        <w:rPr>
          <w:rFonts w:ascii="黑体" w:hAnsi="黑体" w:cs="黑体" w:eastAsia="黑体"/>
        </w:rPr>
        <w:t>第四十五条</w:t>
      </w:r>
      <w:r>
        <w:rPr>
          <w:rFonts w:ascii="黑体" w:hAnsi="黑体" w:cs="黑体" w:eastAsia="黑体"/>
          <w:spacing w:val="86"/>
        </w:rPr>
        <w:t> </w:t>
      </w:r>
      <w:r>
        <w:rPr/>
        <w:t>根据本准则第三十条的规定，集团项目组应当了解集</w:t>
      </w:r>
      <w:r>
        <w:rPr/>
        <w:t> </w:t>
      </w:r>
      <w:r>
        <w:rPr>
          <w:spacing w:val="-2"/>
        </w:rPr>
        <w:t>团层面的控制和合并过程，包括集团管理层向组成部分下达的指令。</w:t>
      </w:r>
    </w:p>
    <w:p>
      <w:pPr>
        <w:pStyle w:val="BodyText"/>
        <w:spacing w:line="367" w:lineRule="auto" w:before="45"/>
        <w:ind w:right="113"/>
        <w:jc w:val="both"/>
      </w:pPr>
      <w:r>
        <w:rPr>
          <w:spacing w:val="19"/>
        </w:rPr>
        <w:t>根据本准则第三十八条的规定，如果对合并过程执行工作的性</w:t>
      </w:r>
      <w:r>
        <w:rPr>
          <w:spacing w:val="40"/>
        </w:rPr>
        <w:t> </w:t>
      </w:r>
      <w:r>
        <w:rPr>
          <w:spacing w:val="7"/>
        </w:rPr>
        <w:t>质、时间安排和范围基于预期集团层面控制有效运行，或者仅实施实</w:t>
      </w:r>
      <w:r>
        <w:rPr>
          <w:spacing w:val="30"/>
        </w:rPr>
        <w:t> </w:t>
      </w:r>
      <w:r>
        <w:rPr>
          <w:spacing w:val="7"/>
        </w:rPr>
        <w:t>质性程序不能提供认定层次的充分、适当的审计证据，集团项目组应</w:t>
      </w:r>
      <w:r>
        <w:rPr>
          <w:spacing w:val="28"/>
        </w:rPr>
        <w:t> </w:t>
      </w:r>
      <w:r>
        <w:rPr>
          <w:spacing w:val="7"/>
        </w:rPr>
        <w:t>当亲自测试或要求组成部分注册会计师代为测试集团层面控制运行的</w:t>
      </w:r>
      <w:r>
        <w:rPr>
          <w:spacing w:val="22"/>
        </w:rPr>
        <w:t> </w:t>
      </w:r>
      <w:r>
        <w:rPr/>
        <w:t>有效性。</w:t>
      </w:r>
    </w:p>
    <w:p>
      <w:pPr>
        <w:pStyle w:val="BodyText"/>
        <w:spacing w:line="366" w:lineRule="auto" w:before="44"/>
        <w:ind w:right="129"/>
        <w:jc w:val="both"/>
      </w:pPr>
      <w:r>
        <w:rPr>
          <w:rFonts w:ascii="黑体" w:hAnsi="黑体" w:cs="黑体" w:eastAsia="黑体"/>
        </w:rPr>
        <w:t>第四十六条</w:t>
      </w:r>
      <w:r>
        <w:rPr>
          <w:rFonts w:ascii="黑体" w:hAnsi="黑体" w:cs="黑体" w:eastAsia="黑体"/>
          <w:spacing w:val="86"/>
        </w:rPr>
        <w:t> </w:t>
      </w:r>
      <w:r>
        <w:rPr/>
        <w:t>集团项目组应当针对合并过程设计和实施进一步审计</w:t>
      </w:r>
      <w:r>
        <w:rPr/>
        <w:t> </w:t>
      </w:r>
      <w:r>
        <w:rPr>
          <w:spacing w:val="7"/>
        </w:rPr>
        <w:t>程序，以应对评估的、由合并过程导致的集团财务报表发生重大错报</w:t>
      </w:r>
      <w:r>
        <w:rPr>
          <w:spacing w:val="26"/>
        </w:rPr>
        <w:t> </w:t>
      </w:r>
      <w:r>
        <w:rPr>
          <w:spacing w:val="7"/>
        </w:rPr>
        <w:t>的风险。设计和实施的进一步审计程序应当包括评价所有组成部分是</w:t>
      </w:r>
    </w:p>
    <w:p>
      <w:pPr>
        <w:spacing w:after="0" w:line="366" w:lineRule="auto"/>
        <w:jc w:val="both"/>
        <w:sectPr>
          <w:pgSz w:w="12240" w:h="15840"/>
          <w:pgMar w:header="0" w:footer="706" w:top="1500" w:bottom="900" w:left="1680" w:right="1660"/>
        </w:sectPr>
      </w:pPr>
    </w:p>
    <w:p>
      <w:pPr>
        <w:pStyle w:val="BodyText"/>
        <w:spacing w:line="240" w:lineRule="auto" w:before="62"/>
        <w:ind w:right="0" w:firstLine="0"/>
        <w:jc w:val="left"/>
      </w:pPr>
      <w:r>
        <w:rPr>
          <w:spacing w:val="-1"/>
        </w:rPr>
        <w:t>否均已包括在集团财务报表中。</w:t>
      </w:r>
    </w:p>
    <w:p>
      <w:pPr>
        <w:pStyle w:val="BodyText"/>
        <w:spacing w:line="366" w:lineRule="auto"/>
        <w:ind w:right="116"/>
        <w:jc w:val="both"/>
      </w:pPr>
      <w:r>
        <w:rPr>
          <w:rFonts w:ascii="黑体" w:hAnsi="黑体" w:cs="黑体" w:eastAsia="黑体"/>
          <w:spacing w:val="7"/>
        </w:rPr>
        <w:t>第四十七条</w:t>
      </w:r>
      <w:r>
        <w:rPr>
          <w:rFonts w:ascii="黑体" w:hAnsi="黑体" w:cs="黑体" w:eastAsia="黑体"/>
          <w:spacing w:val="117"/>
        </w:rPr>
        <w:t> </w:t>
      </w:r>
      <w:r>
        <w:rPr>
          <w:spacing w:val="8"/>
        </w:rPr>
        <w:t>集团项目组应当评价合并调整和重分类事项的适当</w:t>
      </w:r>
      <w:r>
        <w:rPr>
          <w:spacing w:val="42"/>
        </w:rPr>
        <w:t> </w:t>
      </w:r>
      <w:r>
        <w:rPr>
          <w:spacing w:val="7"/>
        </w:rPr>
        <w:t>性、完整性和准确性，并评价是否存在舞弊风险因素或可能存在管理</w:t>
      </w:r>
      <w:r>
        <w:rPr>
          <w:spacing w:val="57"/>
        </w:rPr>
        <w:t> </w:t>
      </w:r>
      <w:r>
        <w:rPr>
          <w:spacing w:val="-1"/>
        </w:rPr>
        <w:t>层偏向的迹象。</w:t>
      </w:r>
    </w:p>
    <w:p>
      <w:pPr>
        <w:pStyle w:val="BodyText"/>
        <w:spacing w:line="367" w:lineRule="auto" w:before="44"/>
        <w:ind w:right="130"/>
        <w:jc w:val="both"/>
      </w:pPr>
      <w:r>
        <w:rPr>
          <w:rFonts w:ascii="黑体" w:hAnsi="黑体" w:cs="黑体" w:eastAsia="黑体"/>
        </w:rPr>
        <w:t>第四十八条</w:t>
      </w:r>
      <w:r>
        <w:rPr>
          <w:rFonts w:ascii="黑体" w:hAnsi="黑体" w:cs="黑体" w:eastAsia="黑体"/>
          <w:spacing w:val="86"/>
        </w:rPr>
        <w:t> </w:t>
      </w:r>
      <w:r>
        <w:rPr/>
        <w:t>如果组成部分财务信息没有按照集团财务报表采用的</w:t>
      </w:r>
      <w:r>
        <w:rPr/>
        <w:t> </w:t>
      </w:r>
      <w:r>
        <w:rPr>
          <w:spacing w:val="7"/>
        </w:rPr>
        <w:t>会计政策编制，集团项目组应当评价组成部分财务信息是否已得到适</w:t>
      </w:r>
      <w:r>
        <w:rPr>
          <w:spacing w:val="24"/>
        </w:rPr>
        <w:t> </w:t>
      </w:r>
      <w:r>
        <w:rPr>
          <w:spacing w:val="-1"/>
        </w:rPr>
        <w:t>当调整，以满足编制和列报集团财务报表的要求。</w:t>
      </w:r>
    </w:p>
    <w:p>
      <w:pPr>
        <w:pStyle w:val="BodyText"/>
        <w:spacing w:line="366" w:lineRule="auto" w:before="44"/>
        <w:ind w:right="126"/>
        <w:jc w:val="both"/>
      </w:pPr>
      <w:r>
        <w:rPr>
          <w:rFonts w:ascii="黑体" w:hAnsi="黑体" w:cs="黑体" w:eastAsia="黑体"/>
        </w:rPr>
        <w:t>第四十九条</w:t>
      </w:r>
      <w:r>
        <w:rPr>
          <w:rFonts w:ascii="黑体" w:hAnsi="黑体" w:cs="黑体" w:eastAsia="黑体"/>
          <w:spacing w:val="86"/>
        </w:rPr>
        <w:t> </w:t>
      </w:r>
      <w:r>
        <w:rPr/>
        <w:t>集团项目组应当确定，组成部分注册会计师按照本准</w:t>
      </w:r>
      <w:r>
        <w:rPr>
          <w:spacing w:val="21"/>
        </w:rPr>
        <w:t> </w:t>
      </w:r>
      <w:r>
        <w:rPr>
          <w:spacing w:val="7"/>
        </w:rPr>
        <w:t>则第五十四条的规定进行的沟通中提及的财务信息是否就是包括在集</w:t>
      </w:r>
      <w:r>
        <w:rPr>
          <w:spacing w:val="30"/>
        </w:rPr>
        <w:t> </w:t>
      </w:r>
      <w:r>
        <w:rPr>
          <w:spacing w:val="-1"/>
        </w:rPr>
        <w:t>团财务报表中的财务信息。</w:t>
      </w:r>
    </w:p>
    <w:p>
      <w:pPr>
        <w:pStyle w:val="BodyText"/>
        <w:spacing w:line="366" w:lineRule="auto" w:before="44"/>
        <w:ind w:right="126"/>
        <w:jc w:val="both"/>
      </w:pPr>
      <w:r>
        <w:rPr>
          <w:rFonts w:ascii="黑体" w:hAnsi="黑体" w:cs="黑体" w:eastAsia="黑体"/>
        </w:rPr>
        <w:t>第五十条</w:t>
      </w:r>
      <w:r>
        <w:rPr>
          <w:rFonts w:ascii="黑体" w:hAnsi="黑体" w:cs="黑体" w:eastAsia="黑体"/>
          <w:spacing w:val="97"/>
        </w:rPr>
        <w:t> </w:t>
      </w:r>
      <w:r>
        <w:rPr>
          <w:spacing w:val="-1"/>
        </w:rPr>
        <w:t>如果集团财务报表包括的组成部分财务报表的报告期末</w:t>
      </w:r>
      <w:r>
        <w:rPr>
          <w:spacing w:val="30"/>
        </w:rPr>
        <w:t> </w:t>
      </w:r>
      <w:r>
        <w:rPr>
          <w:spacing w:val="7"/>
        </w:rPr>
        <w:t>不同于集团财务报表，集团项目组应当评价是否已按照适用的财务报</w:t>
      </w:r>
      <w:r>
        <w:rPr>
          <w:spacing w:val="30"/>
        </w:rPr>
        <w:t> </w:t>
      </w:r>
      <w:r>
        <w:rPr>
          <w:spacing w:val="-1"/>
        </w:rPr>
        <w:t>告编制基础对这些财务报表作出恰当调整。</w:t>
      </w:r>
    </w:p>
    <w:p>
      <w:pPr>
        <w:spacing w:line="240" w:lineRule="auto" w:before="0"/>
        <w:rPr>
          <w:rFonts w:ascii="宋体" w:hAnsi="宋体" w:cs="宋体" w:eastAsia="宋体"/>
          <w:sz w:val="28"/>
          <w:szCs w:val="28"/>
        </w:rPr>
      </w:pPr>
    </w:p>
    <w:p>
      <w:pPr>
        <w:spacing w:line="240" w:lineRule="auto" w:before="10"/>
        <w:rPr>
          <w:rFonts w:ascii="宋体" w:hAnsi="宋体" w:cs="宋体" w:eastAsia="宋体"/>
          <w:sz w:val="23"/>
          <w:szCs w:val="23"/>
        </w:rPr>
      </w:pPr>
    </w:p>
    <w:p>
      <w:pPr>
        <w:pStyle w:val="Heading1"/>
        <w:tabs>
          <w:tab w:pos="1281" w:val="left" w:leader="none"/>
        </w:tabs>
        <w:spacing w:line="240" w:lineRule="auto"/>
        <w:ind w:right="16"/>
        <w:jc w:val="center"/>
        <w:rPr>
          <w:b w:val="0"/>
          <w:bCs w:val="0"/>
        </w:rPr>
      </w:pPr>
      <w:r>
        <w:rPr>
          <w:w w:val="95"/>
        </w:rPr>
        <w:t>第九节</w:t>
        <w:tab/>
      </w:r>
      <w:r>
        <w:rPr>
          <w:spacing w:val="2"/>
        </w:rPr>
        <w:t>期后事项</w:t>
      </w:r>
      <w:r>
        <w:rPr>
          <w:b w:val="0"/>
          <w:bCs w:val="0"/>
        </w:rPr>
      </w:r>
    </w:p>
    <w:p>
      <w:pPr>
        <w:spacing w:line="240" w:lineRule="auto" w:before="0"/>
        <w:rPr>
          <w:rFonts w:ascii="宋体" w:hAnsi="宋体" w:cs="宋体" w:eastAsia="宋体"/>
          <w:b/>
          <w:bCs/>
          <w:sz w:val="32"/>
          <w:szCs w:val="32"/>
        </w:rPr>
      </w:pPr>
    </w:p>
    <w:p>
      <w:pPr>
        <w:spacing w:line="240" w:lineRule="auto" w:before="3"/>
        <w:rPr>
          <w:rFonts w:ascii="宋体" w:hAnsi="宋体" w:cs="宋体" w:eastAsia="宋体"/>
          <w:b/>
          <w:bCs/>
          <w:sz w:val="25"/>
          <w:szCs w:val="25"/>
        </w:rPr>
      </w:pPr>
    </w:p>
    <w:p>
      <w:pPr>
        <w:pStyle w:val="BodyText"/>
        <w:spacing w:line="367" w:lineRule="auto" w:before="0"/>
        <w:ind w:right="126"/>
        <w:jc w:val="both"/>
      </w:pPr>
      <w:r>
        <w:rPr>
          <w:rFonts w:ascii="黑体" w:hAnsi="黑体" w:cs="黑体" w:eastAsia="黑体"/>
        </w:rPr>
        <w:t>第五十一条</w:t>
      </w:r>
      <w:r>
        <w:rPr>
          <w:rFonts w:ascii="黑体" w:hAnsi="黑体" w:cs="黑体" w:eastAsia="黑体"/>
          <w:spacing w:val="86"/>
        </w:rPr>
        <w:t> </w:t>
      </w:r>
      <w:r>
        <w:rPr/>
        <w:t>如果集团项目组或组成部分注册会计师对组成部分财</w:t>
      </w:r>
      <w:r>
        <w:rPr/>
        <w:t> </w:t>
      </w:r>
      <w:r>
        <w:rPr>
          <w:spacing w:val="7"/>
        </w:rPr>
        <w:t>务信息实施审计，集团项目组或组成部分注册会计师应当实施审计程</w:t>
      </w:r>
      <w:r>
        <w:rPr>
          <w:spacing w:val="29"/>
        </w:rPr>
        <w:t> </w:t>
      </w:r>
      <w:r>
        <w:rPr>
          <w:spacing w:val="7"/>
        </w:rPr>
        <w:t>序，以识别组成部分自组成部分财务信息日至对集团财务报表出具审</w:t>
      </w:r>
      <w:r>
        <w:rPr>
          <w:spacing w:val="32"/>
        </w:rPr>
        <w:t> </w:t>
      </w:r>
      <w:r>
        <w:rPr>
          <w:spacing w:val="16"/>
        </w:rPr>
        <w:t>计报告日之间发生的、可能需要在集团财务报表中调整或披露的事</w:t>
      </w:r>
      <w:r>
        <w:rPr>
          <w:spacing w:val="38"/>
        </w:rPr>
        <w:t> </w:t>
      </w:r>
      <w:r>
        <w:rPr/>
        <w:t>项。</w:t>
      </w:r>
    </w:p>
    <w:p>
      <w:pPr>
        <w:pStyle w:val="BodyText"/>
        <w:tabs>
          <w:tab w:pos="2307" w:val="left" w:leader="none"/>
        </w:tabs>
        <w:spacing w:line="240" w:lineRule="auto" w:before="44"/>
        <w:ind w:left="677" w:right="0" w:firstLine="0"/>
        <w:jc w:val="left"/>
      </w:pPr>
      <w:r>
        <w:rPr>
          <w:rFonts w:ascii="黑体" w:hAnsi="黑体" w:cs="黑体" w:eastAsia="黑体"/>
        </w:rPr>
        <w:t>第五十二条</w:t>
        <w:tab/>
      </w:r>
      <w:r>
        <w:rPr/>
        <w:t>如果组成部分注册会计师执行组成部分财务信息审计</w:t>
      </w:r>
    </w:p>
    <w:p>
      <w:pPr>
        <w:spacing w:after="0" w:line="240" w:lineRule="auto"/>
        <w:jc w:val="left"/>
        <w:sectPr>
          <w:pgSz w:w="12240" w:h="15840"/>
          <w:pgMar w:header="0" w:footer="706" w:top="1500" w:bottom="900" w:left="1680" w:right="1660"/>
        </w:sectPr>
      </w:pPr>
    </w:p>
    <w:p>
      <w:pPr>
        <w:pStyle w:val="BodyText"/>
        <w:spacing w:line="366" w:lineRule="auto" w:before="62"/>
        <w:ind w:right="0" w:firstLine="0"/>
        <w:jc w:val="left"/>
      </w:pPr>
      <w:r>
        <w:rPr>
          <w:spacing w:val="7"/>
        </w:rPr>
        <w:t>以外的工作，集团项目组应当要求组成部分注册会计师告知其注意到</w:t>
      </w:r>
      <w:r>
        <w:rPr>
          <w:spacing w:val="32"/>
        </w:rPr>
        <w:t> </w:t>
      </w:r>
      <w:r>
        <w:rPr>
          <w:spacing w:val="-2"/>
        </w:rPr>
        <w:t>的、可能需要在集团财务报表中调整或披露的期后事项。</w:t>
      </w:r>
    </w:p>
    <w:p>
      <w:pPr>
        <w:spacing w:line="240" w:lineRule="auto" w:before="0"/>
        <w:rPr>
          <w:rFonts w:ascii="宋体" w:hAnsi="宋体" w:cs="宋体" w:eastAsia="宋体"/>
          <w:sz w:val="28"/>
          <w:szCs w:val="28"/>
        </w:rPr>
      </w:pPr>
    </w:p>
    <w:p>
      <w:pPr>
        <w:spacing w:line="240" w:lineRule="auto" w:before="13"/>
        <w:rPr>
          <w:rFonts w:ascii="宋体" w:hAnsi="宋体" w:cs="宋体" w:eastAsia="宋体"/>
          <w:sz w:val="23"/>
          <w:szCs w:val="23"/>
        </w:rPr>
      </w:pPr>
    </w:p>
    <w:p>
      <w:pPr>
        <w:pStyle w:val="Heading1"/>
        <w:tabs>
          <w:tab w:pos="1282" w:val="left" w:leader="none"/>
        </w:tabs>
        <w:spacing w:line="240" w:lineRule="auto"/>
        <w:ind w:right="22"/>
        <w:jc w:val="center"/>
        <w:rPr>
          <w:b w:val="0"/>
          <w:bCs w:val="0"/>
        </w:rPr>
      </w:pPr>
      <w:r>
        <w:rPr>
          <w:w w:val="95"/>
        </w:rPr>
        <w:t>第十节</w:t>
        <w:tab/>
      </w:r>
      <w:r>
        <w:rPr>
          <w:spacing w:val="1"/>
        </w:rPr>
        <w:t>与组成部分注册会计师的沟通</w:t>
      </w:r>
      <w:r>
        <w:rPr>
          <w:b w:val="0"/>
          <w:bCs w:val="0"/>
        </w:rPr>
      </w:r>
    </w:p>
    <w:p>
      <w:pPr>
        <w:spacing w:line="240" w:lineRule="auto" w:before="0"/>
        <w:rPr>
          <w:rFonts w:ascii="宋体" w:hAnsi="宋体" w:cs="宋体" w:eastAsia="宋体"/>
          <w:b/>
          <w:bCs/>
          <w:sz w:val="32"/>
          <w:szCs w:val="32"/>
        </w:rPr>
      </w:pPr>
    </w:p>
    <w:p>
      <w:pPr>
        <w:spacing w:line="240" w:lineRule="auto" w:before="3"/>
        <w:rPr>
          <w:rFonts w:ascii="宋体" w:hAnsi="宋体" w:cs="宋体" w:eastAsia="宋体"/>
          <w:b/>
          <w:bCs/>
          <w:sz w:val="25"/>
          <w:szCs w:val="25"/>
        </w:rPr>
      </w:pPr>
    </w:p>
    <w:p>
      <w:pPr>
        <w:pStyle w:val="BodyText"/>
        <w:spacing w:line="366" w:lineRule="auto" w:before="0"/>
        <w:ind w:right="116"/>
        <w:jc w:val="both"/>
      </w:pPr>
      <w:r>
        <w:rPr>
          <w:rFonts w:ascii="黑体" w:hAnsi="黑体" w:cs="黑体" w:eastAsia="黑体"/>
        </w:rPr>
        <w:t>第五十三条</w:t>
      </w:r>
      <w:r>
        <w:rPr>
          <w:rFonts w:ascii="黑体" w:hAnsi="黑体" w:cs="黑体" w:eastAsia="黑体"/>
          <w:spacing w:val="86"/>
        </w:rPr>
        <w:t> </w:t>
      </w:r>
      <w:r>
        <w:rPr/>
        <w:t>集团项目组应当及时向组成部分注册会计师通报工作</w:t>
      </w:r>
      <w:r>
        <w:rPr/>
        <w:t> </w:t>
      </w:r>
      <w:r>
        <w:rPr>
          <w:spacing w:val="7"/>
        </w:rPr>
        <w:t>要求。通报的内容应当明确组成部分注册会计师应执行的工作和集团</w:t>
      </w:r>
      <w:r>
        <w:rPr>
          <w:spacing w:val="57"/>
        </w:rPr>
        <w:t> </w:t>
      </w:r>
      <w:r>
        <w:rPr>
          <w:spacing w:val="7"/>
        </w:rPr>
        <w:t>项目组对其工作的利用，以及组成部分注册会计师与集团项目组沟通</w:t>
      </w:r>
      <w:r>
        <w:rPr>
          <w:spacing w:val="57"/>
        </w:rPr>
        <w:t> </w:t>
      </w:r>
      <w:r>
        <w:rPr>
          <w:spacing w:val="-1"/>
        </w:rPr>
        <w:t>的形式和内容。</w:t>
      </w:r>
    </w:p>
    <w:p>
      <w:pPr>
        <w:pStyle w:val="BodyText"/>
        <w:spacing w:line="240" w:lineRule="auto" w:before="44"/>
        <w:ind w:left="677" w:right="0" w:firstLine="0"/>
        <w:jc w:val="left"/>
      </w:pPr>
      <w:r>
        <w:rPr>
          <w:spacing w:val="-1"/>
        </w:rPr>
        <w:t>通报的内容还应当包括：</w:t>
      </w:r>
    </w:p>
    <w:p>
      <w:pPr>
        <w:pStyle w:val="BodyText"/>
        <w:spacing w:line="367" w:lineRule="auto"/>
        <w:ind w:right="130"/>
        <w:jc w:val="both"/>
      </w:pPr>
      <w:r>
        <w:rPr>
          <w:spacing w:val="7"/>
        </w:rPr>
        <w:t>（一）在组成部分注册会计师知悉集团项目组将利用其工作的前</w:t>
      </w:r>
      <w:r>
        <w:rPr>
          <w:spacing w:val="54"/>
        </w:rPr>
        <w:t> </w:t>
      </w:r>
      <w:r>
        <w:rPr>
          <w:spacing w:val="-2"/>
        </w:rPr>
        <w:t>提下，要求组成部分注册会计师确认其将配合集团项目组的工作。</w:t>
      </w:r>
    </w:p>
    <w:p>
      <w:pPr>
        <w:pStyle w:val="BodyText"/>
        <w:spacing w:line="240" w:lineRule="auto" w:before="44"/>
        <w:ind w:left="677" w:right="0" w:firstLine="0"/>
        <w:jc w:val="left"/>
      </w:pPr>
      <w:r>
        <w:rPr>
          <w:spacing w:val="-1"/>
        </w:rPr>
        <w:t>（二）与集团审计相关的职业道德要求，特别是独立性要求。</w:t>
      </w:r>
    </w:p>
    <w:p>
      <w:pPr>
        <w:pStyle w:val="BodyText"/>
        <w:spacing w:line="366" w:lineRule="auto"/>
        <w:ind w:right="126"/>
        <w:jc w:val="both"/>
      </w:pPr>
      <w:r>
        <w:rPr>
          <w:spacing w:val="7"/>
        </w:rPr>
        <w:t>（三）在对组成部分财务信息实施审计或审阅的情况下，组成部</w:t>
      </w:r>
      <w:r>
        <w:rPr>
          <w:spacing w:val="50"/>
        </w:rPr>
        <w:t> </w:t>
      </w:r>
      <w:r>
        <w:rPr>
          <w:spacing w:val="7"/>
        </w:rPr>
        <w:t>分的重要性和针对特定类别的交易、账户余额或披露采用的一个或多</w:t>
      </w:r>
      <w:r>
        <w:rPr>
          <w:spacing w:val="30"/>
        </w:rPr>
        <w:t> </w:t>
      </w:r>
      <w:r>
        <w:rPr>
          <w:spacing w:val="7"/>
        </w:rPr>
        <w:t>个重要性水平（如适用）以及临界值，超过临界值的错报不能视为对</w:t>
      </w:r>
      <w:r>
        <w:rPr>
          <w:spacing w:val="26"/>
        </w:rPr>
        <w:t> </w:t>
      </w:r>
      <w:r>
        <w:rPr>
          <w:spacing w:val="-1"/>
        </w:rPr>
        <w:t>集团财务报表明显微小的错报。</w:t>
      </w:r>
    </w:p>
    <w:p>
      <w:pPr>
        <w:pStyle w:val="BodyText"/>
        <w:spacing w:line="366" w:lineRule="auto" w:before="47"/>
        <w:ind w:right="116"/>
        <w:jc w:val="both"/>
      </w:pPr>
      <w:r>
        <w:rPr>
          <w:spacing w:val="7"/>
        </w:rPr>
        <w:t>（四）识别出的与组成部分注册会计师工作相关的、由于舞弊或</w:t>
      </w:r>
      <w:r>
        <w:rPr>
          <w:spacing w:val="52"/>
        </w:rPr>
        <w:t> </w:t>
      </w:r>
      <w:r>
        <w:rPr>
          <w:spacing w:val="7"/>
        </w:rPr>
        <w:t>错误导致集团财务报表发生重大错报的特别风险。集团项目组应当要</w:t>
      </w:r>
      <w:r>
        <w:rPr>
          <w:spacing w:val="29"/>
        </w:rPr>
        <w:t> </w:t>
      </w:r>
      <w:r>
        <w:rPr>
          <w:spacing w:val="7"/>
        </w:rPr>
        <w:t>求组成部分注册会计师及时沟通所有识别出的、在组成部分内的其他</w:t>
      </w:r>
      <w:r>
        <w:rPr>
          <w:spacing w:val="59"/>
        </w:rPr>
        <w:t> </w:t>
      </w:r>
      <w:r>
        <w:rPr>
          <w:spacing w:val="7"/>
        </w:rPr>
        <w:t>由于舞弊或错误可能导致集团财务报表发生重大错报的特别风险，以</w:t>
      </w:r>
      <w:r>
        <w:rPr>
          <w:spacing w:val="29"/>
        </w:rPr>
        <w:t> </w:t>
      </w:r>
      <w:r>
        <w:rPr>
          <w:spacing w:val="-2"/>
        </w:rPr>
        <w:t>及组成部分注册会计师针对这些特别风险采取的应对措施。</w:t>
      </w:r>
    </w:p>
    <w:p>
      <w:pPr>
        <w:spacing w:after="0" w:line="366" w:lineRule="auto"/>
        <w:jc w:val="both"/>
        <w:sectPr>
          <w:pgSz w:w="12240" w:h="15840"/>
          <w:pgMar w:header="0" w:footer="706" w:top="1500" w:bottom="900" w:left="1680" w:right="1660"/>
        </w:sectPr>
      </w:pPr>
    </w:p>
    <w:p>
      <w:pPr>
        <w:pStyle w:val="BodyText"/>
        <w:spacing w:line="366" w:lineRule="auto" w:before="62"/>
        <w:ind w:right="106"/>
        <w:jc w:val="both"/>
      </w:pPr>
      <w:r>
        <w:rPr>
          <w:spacing w:val="2"/>
        </w:rPr>
        <w:t>（五）</w:t>
      </w:r>
      <w:r>
        <w:rPr>
          <w:spacing w:val="-20"/>
        </w:rPr>
        <w:t> </w:t>
      </w:r>
      <w:r>
        <w:rPr>
          <w:spacing w:val="3"/>
        </w:rPr>
        <w:t>集团管理层编制的关联方清单和集团项目组知悉的任何其</w:t>
      </w:r>
      <w:r>
        <w:rPr>
          <w:spacing w:val="27"/>
        </w:rPr>
        <w:t> </w:t>
      </w:r>
      <w:r>
        <w:rPr>
          <w:spacing w:val="7"/>
        </w:rPr>
        <w:t>他关联方。集团项目组应当要求组成部分注册会计师及时沟通集团管</w:t>
      </w:r>
      <w:r>
        <w:rPr>
          <w:spacing w:val="30"/>
        </w:rPr>
        <w:t> </w:t>
      </w:r>
      <w:r>
        <w:rPr>
          <w:spacing w:val="7"/>
        </w:rPr>
        <w:t>理层或集团项目组以前未识别出的关联方。集团项目组应当确定是否</w:t>
      </w:r>
      <w:r>
        <w:rPr>
          <w:spacing w:val="24"/>
        </w:rPr>
        <w:t> </w:t>
      </w:r>
      <w:r>
        <w:rPr>
          <w:spacing w:val="-1"/>
        </w:rPr>
        <w:t>需要将新识别的关联方告知其他组成部分注册会计师。</w:t>
      </w:r>
    </w:p>
    <w:p>
      <w:pPr>
        <w:pStyle w:val="BodyText"/>
        <w:spacing w:line="367" w:lineRule="auto" w:before="45"/>
        <w:ind w:right="111"/>
        <w:jc w:val="both"/>
      </w:pPr>
      <w:r>
        <w:rPr>
          <w:rFonts w:ascii="黑体" w:hAnsi="黑体" w:cs="黑体" w:eastAsia="黑体"/>
        </w:rPr>
        <w:t>第五十四条</w:t>
      </w:r>
      <w:r>
        <w:rPr>
          <w:rFonts w:ascii="黑体" w:hAnsi="黑体" w:cs="黑体" w:eastAsia="黑体"/>
          <w:spacing w:val="86"/>
        </w:rPr>
        <w:t> </w:t>
      </w:r>
      <w:r>
        <w:rPr/>
        <w:t>集团项目组应当要求组成部分注册会计师沟通与得出</w:t>
      </w:r>
      <w:r>
        <w:rPr>
          <w:spacing w:val="21"/>
        </w:rPr>
        <w:t> </w:t>
      </w:r>
      <w:r>
        <w:rPr>
          <w:spacing w:val="-1"/>
        </w:rPr>
        <w:t>集团审计结论相关的事项。沟通的内容应当包括：</w:t>
      </w:r>
    </w:p>
    <w:p>
      <w:pPr>
        <w:pStyle w:val="BodyText"/>
        <w:spacing w:line="366" w:lineRule="auto" w:before="44"/>
        <w:ind w:right="116"/>
        <w:jc w:val="both"/>
      </w:pPr>
      <w:r>
        <w:rPr>
          <w:spacing w:val="7"/>
        </w:rPr>
        <w:t>（一）组成部分注册会计师是否已遵守与集团审计相关的职业道</w:t>
      </w:r>
      <w:r>
        <w:rPr>
          <w:spacing w:val="42"/>
        </w:rPr>
        <w:t> </w:t>
      </w:r>
      <w:r>
        <w:rPr>
          <w:spacing w:val="-2"/>
        </w:rPr>
        <w:t>德要求，包括对独立性和专业胜任能力的要求；</w:t>
      </w:r>
    </w:p>
    <w:p>
      <w:pPr>
        <w:pStyle w:val="BodyText"/>
        <w:spacing w:line="240" w:lineRule="auto" w:before="48"/>
        <w:ind w:left="677" w:right="0" w:firstLine="0"/>
        <w:jc w:val="left"/>
      </w:pPr>
      <w:r>
        <w:rPr>
          <w:spacing w:val="-2"/>
        </w:rPr>
        <w:t>（二）组成部分注册会计师是否已遵守集团项目组的要求；</w:t>
      </w:r>
    </w:p>
    <w:p>
      <w:pPr>
        <w:pStyle w:val="BodyText"/>
        <w:spacing w:line="366" w:lineRule="auto"/>
        <w:ind w:right="110"/>
        <w:jc w:val="both"/>
      </w:pPr>
      <w:r>
        <w:rPr>
          <w:spacing w:val="7"/>
        </w:rPr>
        <w:t>（三）指出作为组成部分注册会计师出具报告对象的组成部分财</w:t>
      </w:r>
      <w:r>
        <w:rPr>
          <w:spacing w:val="50"/>
        </w:rPr>
        <w:t> </w:t>
      </w:r>
      <w:r>
        <w:rPr/>
        <w:t>务信息；</w:t>
      </w:r>
    </w:p>
    <w:p>
      <w:pPr>
        <w:pStyle w:val="BodyText"/>
        <w:spacing w:line="366" w:lineRule="auto" w:before="48"/>
        <w:ind w:right="110"/>
        <w:jc w:val="both"/>
      </w:pPr>
      <w:r>
        <w:rPr>
          <w:spacing w:val="7"/>
        </w:rPr>
        <w:t>（四）因违反法律法规而可能导致集团财务报表发生重大错报的</w:t>
      </w:r>
      <w:r>
        <w:rPr>
          <w:spacing w:val="52"/>
        </w:rPr>
        <w:t> </w:t>
      </w:r>
      <w:r>
        <w:rPr/>
        <w:t>信息；</w:t>
      </w:r>
    </w:p>
    <w:p>
      <w:pPr>
        <w:pStyle w:val="BodyText"/>
        <w:spacing w:line="367" w:lineRule="auto" w:before="46"/>
        <w:ind w:right="106"/>
        <w:jc w:val="both"/>
      </w:pPr>
      <w:r>
        <w:rPr>
          <w:spacing w:val="2"/>
        </w:rPr>
        <w:t>（五）</w:t>
      </w:r>
      <w:r>
        <w:rPr>
          <w:spacing w:val="-20"/>
        </w:rPr>
        <w:t> </w:t>
      </w:r>
      <w:r>
        <w:rPr>
          <w:spacing w:val="3"/>
        </w:rPr>
        <w:t>组成部分财务信息中未更正错报的清单（清单不必包括低</w:t>
      </w:r>
      <w:r>
        <w:rPr>
          <w:spacing w:val="42"/>
        </w:rPr>
        <w:t> </w:t>
      </w:r>
      <w:r>
        <w:rPr>
          <w:spacing w:val="-1"/>
        </w:rPr>
        <w:t>于</w:t>
      </w:r>
      <w:r>
        <w:rPr/>
        <w:t>集团</w:t>
      </w:r>
      <w:r>
        <w:rPr>
          <w:spacing w:val="-3"/>
        </w:rPr>
        <w:t>项</w:t>
      </w:r>
      <w:r>
        <w:rPr/>
        <w:t>目组</w:t>
      </w:r>
      <w:r>
        <w:rPr>
          <w:spacing w:val="-3"/>
        </w:rPr>
        <w:t>通报</w:t>
      </w:r>
      <w:r>
        <w:rPr>
          <w:spacing w:val="1"/>
        </w:rPr>
        <w:t>的</w:t>
      </w:r>
      <w:r>
        <w:rPr/>
        <w:t>临界</w:t>
      </w:r>
      <w:r>
        <w:rPr>
          <w:spacing w:val="-3"/>
        </w:rPr>
        <w:t>值</w:t>
      </w:r>
      <w:r>
        <w:rPr/>
        <w:t>且明</w:t>
      </w:r>
      <w:r>
        <w:rPr>
          <w:spacing w:val="-3"/>
        </w:rPr>
        <w:t>显微</w:t>
      </w:r>
      <w:r>
        <w:rPr/>
        <w:t>小的错</w:t>
      </w:r>
      <w:r>
        <w:rPr>
          <w:spacing w:val="-3"/>
        </w:rPr>
        <w:t>报</w:t>
      </w:r>
      <w:r>
        <w:rPr>
          <w:spacing w:val="-140"/>
        </w:rPr>
        <w:t>）</w:t>
      </w:r>
      <w:r>
        <w:rPr/>
        <w:t>；</w:t>
      </w:r>
    </w:p>
    <w:p>
      <w:pPr>
        <w:pStyle w:val="BodyText"/>
        <w:spacing w:line="240" w:lineRule="auto" w:before="43"/>
        <w:ind w:left="677" w:right="0" w:firstLine="0"/>
        <w:jc w:val="left"/>
      </w:pPr>
      <w:r>
        <w:rPr/>
        <w:t>（六）</w:t>
      </w:r>
      <w:r>
        <w:rPr>
          <w:spacing w:val="-73"/>
        </w:rPr>
        <w:t> </w:t>
      </w:r>
      <w:r>
        <w:rPr>
          <w:spacing w:val="-1"/>
        </w:rPr>
        <w:t>表明可能存在管理层偏向的迹象；</w:t>
      </w:r>
    </w:p>
    <w:p>
      <w:pPr>
        <w:pStyle w:val="BodyText"/>
        <w:spacing w:line="240" w:lineRule="auto"/>
        <w:ind w:left="677" w:right="0" w:firstLine="0"/>
        <w:jc w:val="left"/>
      </w:pPr>
      <w:r>
        <w:rPr>
          <w:spacing w:val="-1"/>
        </w:rPr>
        <w:t>（七）描述识别出的组成部分层面值得关注的内部控制缺陷；</w:t>
      </w:r>
    </w:p>
    <w:p>
      <w:pPr>
        <w:pStyle w:val="BodyText"/>
        <w:spacing w:line="366" w:lineRule="auto" w:before="195"/>
        <w:ind w:right="108"/>
        <w:jc w:val="both"/>
      </w:pPr>
      <w:r>
        <w:rPr>
          <w:spacing w:val="7"/>
        </w:rPr>
        <w:t>（八）组成部分注册会计师向组成部分治理层已通报或拟通报的</w:t>
      </w:r>
      <w:r>
        <w:rPr>
          <w:spacing w:val="52"/>
        </w:rPr>
        <w:t> </w:t>
      </w:r>
      <w:r>
        <w:rPr>
          <w:spacing w:val="7"/>
        </w:rPr>
        <w:t>其他重大事项，包括涉及组成部分管理层、在组成部分层面内部控制</w:t>
      </w:r>
      <w:r>
        <w:rPr>
          <w:spacing w:val="24"/>
        </w:rPr>
        <w:t> </w:t>
      </w:r>
      <w:r>
        <w:rPr>
          <w:spacing w:val="7"/>
        </w:rPr>
        <w:t>中承担重要职责的员工以及其他人员（在舞弊行为导致组成部分财务</w:t>
      </w:r>
      <w:r>
        <w:rPr>
          <w:spacing w:val="28"/>
        </w:rPr>
        <w:t> </w:t>
      </w:r>
      <w:r>
        <w:rPr>
          <w:spacing w:val="-1"/>
        </w:rPr>
        <w:t>信息出现重大错报的情况下）的舞弊或舞弊嫌疑；</w:t>
      </w:r>
    </w:p>
    <w:p>
      <w:pPr>
        <w:pStyle w:val="BodyText"/>
        <w:spacing w:line="366" w:lineRule="auto" w:before="44"/>
        <w:ind w:right="107"/>
        <w:jc w:val="both"/>
      </w:pPr>
      <w:r>
        <w:rPr>
          <w:spacing w:val="7"/>
        </w:rPr>
        <w:t>（九）可能与集团审计相关或者组成部分注册会计师期望集团项</w:t>
      </w:r>
      <w:r>
        <w:rPr>
          <w:spacing w:val="42"/>
        </w:rPr>
        <w:t> </w:t>
      </w:r>
      <w:r>
        <w:rPr>
          <w:spacing w:val="7"/>
        </w:rPr>
        <w:t>目组加以关注的其他事项，包括在组成部分注册会计师要求组成部分</w:t>
      </w:r>
    </w:p>
    <w:p>
      <w:pPr>
        <w:spacing w:after="0" w:line="366" w:lineRule="auto"/>
        <w:jc w:val="both"/>
        <w:sectPr>
          <w:pgSz w:w="12240" w:h="15840"/>
          <w:pgMar w:header="0" w:footer="706" w:top="1500" w:bottom="900" w:left="1680" w:right="1680"/>
        </w:sectPr>
      </w:pPr>
    </w:p>
    <w:p>
      <w:pPr>
        <w:pStyle w:val="BodyText"/>
        <w:spacing w:line="240" w:lineRule="auto" w:before="62"/>
        <w:ind w:right="0" w:firstLine="0"/>
        <w:jc w:val="left"/>
      </w:pPr>
      <w:r>
        <w:rPr>
          <w:spacing w:val="-1"/>
        </w:rPr>
        <w:t>管理层提供的书面声明中指出的例外事项；</w:t>
      </w:r>
    </w:p>
    <w:p>
      <w:pPr>
        <w:pStyle w:val="BodyText"/>
        <w:spacing w:line="367" w:lineRule="auto"/>
        <w:ind w:right="112"/>
        <w:jc w:val="both"/>
      </w:pPr>
      <w:r>
        <w:rPr>
          <w:spacing w:val="7"/>
        </w:rPr>
        <w:t>（十）组成部分注册会计师的总体发现、得出的结论和形成的意</w:t>
      </w:r>
      <w:r>
        <w:rPr>
          <w:spacing w:val="48"/>
        </w:rPr>
        <w:t> </w:t>
      </w:r>
      <w:r>
        <w:rPr/>
        <w:t>见。</w:t>
      </w:r>
    </w:p>
    <w:p>
      <w:pPr>
        <w:spacing w:line="240" w:lineRule="auto" w:before="0"/>
        <w:rPr>
          <w:rFonts w:ascii="宋体" w:hAnsi="宋体" w:cs="宋体" w:eastAsia="宋体"/>
          <w:sz w:val="28"/>
          <w:szCs w:val="28"/>
        </w:rPr>
      </w:pPr>
    </w:p>
    <w:p>
      <w:pPr>
        <w:spacing w:line="240" w:lineRule="auto" w:before="9"/>
        <w:rPr>
          <w:rFonts w:ascii="宋体" w:hAnsi="宋体" w:cs="宋体" w:eastAsia="宋体"/>
          <w:sz w:val="23"/>
          <w:szCs w:val="23"/>
        </w:rPr>
      </w:pPr>
    </w:p>
    <w:p>
      <w:pPr>
        <w:pStyle w:val="Heading1"/>
        <w:tabs>
          <w:tab w:pos="2993" w:val="left" w:leader="none"/>
        </w:tabs>
        <w:spacing w:line="240" w:lineRule="auto"/>
        <w:ind w:left="1390" w:right="0"/>
        <w:jc w:val="left"/>
        <w:rPr>
          <w:b w:val="0"/>
          <w:bCs w:val="0"/>
        </w:rPr>
      </w:pPr>
      <w:r>
        <w:rPr>
          <w:w w:val="95"/>
        </w:rPr>
        <w:t>第十一节</w:t>
        <w:tab/>
      </w:r>
      <w:r>
        <w:rPr>
          <w:spacing w:val="1"/>
        </w:rPr>
        <w:t>评价审计证据的充分性和适当性</w:t>
      </w:r>
      <w:r>
        <w:rPr>
          <w:b w:val="0"/>
          <w:bCs w:val="0"/>
        </w:rPr>
      </w:r>
    </w:p>
    <w:p>
      <w:pPr>
        <w:spacing w:line="240" w:lineRule="auto" w:before="0"/>
        <w:rPr>
          <w:rFonts w:ascii="宋体" w:hAnsi="宋体" w:cs="宋体" w:eastAsia="宋体"/>
          <w:b/>
          <w:bCs/>
          <w:sz w:val="32"/>
          <w:szCs w:val="32"/>
        </w:rPr>
      </w:pPr>
    </w:p>
    <w:p>
      <w:pPr>
        <w:spacing w:line="240" w:lineRule="auto" w:before="3"/>
        <w:rPr>
          <w:rFonts w:ascii="宋体" w:hAnsi="宋体" w:cs="宋体" w:eastAsia="宋体"/>
          <w:b/>
          <w:bCs/>
          <w:sz w:val="25"/>
          <w:szCs w:val="25"/>
        </w:rPr>
      </w:pPr>
    </w:p>
    <w:p>
      <w:pPr>
        <w:pStyle w:val="BodyText"/>
        <w:spacing w:line="366" w:lineRule="auto" w:before="0"/>
        <w:ind w:right="112"/>
        <w:jc w:val="both"/>
      </w:pPr>
      <w:r>
        <w:rPr>
          <w:rFonts w:ascii="黑体" w:hAnsi="黑体" w:cs="黑体" w:eastAsia="黑体"/>
        </w:rPr>
        <w:t>第五十五条</w:t>
      </w:r>
      <w:r>
        <w:rPr>
          <w:rFonts w:ascii="黑体" w:hAnsi="黑体" w:cs="黑体" w:eastAsia="黑体"/>
          <w:spacing w:val="86"/>
        </w:rPr>
        <w:t> </w:t>
      </w:r>
      <w:r>
        <w:rPr/>
        <w:t>集团项目组应当评价与组成部分注册会计师的沟通。</w:t>
      </w:r>
      <w:r>
        <w:rPr/>
        <w:t> </w:t>
      </w:r>
      <w:r>
        <w:rPr>
          <w:spacing w:val="-1"/>
        </w:rPr>
        <w:t>集团项目组应当：</w:t>
      </w:r>
    </w:p>
    <w:p>
      <w:pPr>
        <w:pStyle w:val="BodyText"/>
        <w:spacing w:line="240" w:lineRule="auto" w:before="48"/>
        <w:ind w:left="677" w:right="0" w:firstLine="0"/>
        <w:jc w:val="left"/>
      </w:pPr>
      <w:r>
        <w:rPr>
          <w:spacing w:val="19"/>
        </w:rPr>
        <w:t>（一）</w:t>
      </w:r>
      <w:r>
        <w:rPr>
          <w:spacing w:val="21"/>
        </w:rPr>
        <w:t>与</w:t>
      </w:r>
      <w:r>
        <w:rPr>
          <w:spacing w:val="18"/>
        </w:rPr>
        <w:t>组成部分注册会</w:t>
      </w:r>
      <w:r>
        <w:rPr>
          <w:spacing w:val="21"/>
        </w:rPr>
        <w:t>计</w:t>
      </w:r>
      <w:r>
        <w:rPr>
          <w:spacing w:val="18"/>
        </w:rPr>
        <w:t>师、组</w:t>
      </w:r>
      <w:r>
        <w:rPr>
          <w:spacing w:val="24"/>
        </w:rPr>
        <w:t>成</w:t>
      </w:r>
      <w:r>
        <w:rPr>
          <w:spacing w:val="18"/>
        </w:rPr>
        <w:t>部分管</w:t>
      </w:r>
      <w:r>
        <w:rPr>
          <w:spacing w:val="21"/>
        </w:rPr>
        <w:t>理</w:t>
      </w:r>
      <w:r>
        <w:rPr>
          <w:spacing w:val="18"/>
        </w:rPr>
        <w:t>层或集团管理</w:t>
      </w:r>
      <w:r>
        <w:rPr/>
        <w:t>层</w:t>
      </w:r>
    </w:p>
    <w:p>
      <w:pPr>
        <w:pStyle w:val="BodyText"/>
        <w:spacing w:line="240" w:lineRule="auto"/>
        <w:ind w:right="0" w:firstLine="0"/>
        <w:jc w:val="left"/>
      </w:pPr>
      <w:r>
        <w:rPr>
          <w:spacing w:val="-2"/>
        </w:rPr>
        <w:t>（如适用）讨论在评价过程中发现的重大事项；</w:t>
      </w:r>
    </w:p>
    <w:p>
      <w:pPr>
        <w:pStyle w:val="BodyText"/>
        <w:spacing w:line="367" w:lineRule="auto"/>
        <w:ind w:right="108"/>
        <w:jc w:val="both"/>
      </w:pPr>
      <w:r>
        <w:rPr>
          <w:spacing w:val="9"/>
        </w:rPr>
        <w:t>（</w:t>
      </w:r>
      <w:r>
        <w:rPr>
          <w:spacing w:val="7"/>
        </w:rPr>
        <w:t>二</w:t>
      </w:r>
      <w:r>
        <w:rPr>
          <w:spacing w:val="10"/>
        </w:rPr>
        <w:t>）</w:t>
      </w:r>
      <w:r>
        <w:rPr>
          <w:spacing w:val="7"/>
        </w:rPr>
        <w:t>确</w:t>
      </w:r>
      <w:r>
        <w:rPr>
          <w:spacing w:val="9"/>
        </w:rPr>
        <w:t>定</w:t>
      </w:r>
      <w:r>
        <w:rPr>
          <w:spacing w:val="7"/>
        </w:rPr>
        <w:t>是</w:t>
      </w:r>
      <w:r>
        <w:rPr>
          <w:spacing w:val="9"/>
        </w:rPr>
        <w:t>否</w:t>
      </w:r>
      <w:r>
        <w:rPr>
          <w:spacing w:val="7"/>
        </w:rPr>
        <w:t>有</w:t>
      </w:r>
      <w:r>
        <w:rPr>
          <w:spacing w:val="9"/>
        </w:rPr>
        <w:t>必</w:t>
      </w:r>
      <w:r>
        <w:rPr>
          <w:spacing w:val="7"/>
        </w:rPr>
        <w:t>要</w:t>
      </w:r>
      <w:r>
        <w:rPr>
          <w:spacing w:val="9"/>
        </w:rPr>
        <w:t>复</w:t>
      </w:r>
      <w:r>
        <w:rPr>
          <w:spacing w:val="7"/>
        </w:rPr>
        <w:t>核</w:t>
      </w:r>
      <w:r>
        <w:rPr>
          <w:spacing w:val="9"/>
        </w:rPr>
        <w:t>组</w:t>
      </w:r>
      <w:r>
        <w:rPr>
          <w:spacing w:val="7"/>
        </w:rPr>
        <w:t>成</w:t>
      </w:r>
      <w:r>
        <w:rPr>
          <w:spacing w:val="9"/>
        </w:rPr>
        <w:t>部</w:t>
      </w:r>
      <w:r>
        <w:rPr>
          <w:spacing w:val="7"/>
        </w:rPr>
        <w:t>分</w:t>
      </w:r>
      <w:r>
        <w:rPr>
          <w:spacing w:val="9"/>
        </w:rPr>
        <w:t>注</w:t>
      </w:r>
      <w:r>
        <w:rPr>
          <w:spacing w:val="7"/>
        </w:rPr>
        <w:t>册</w:t>
      </w:r>
      <w:r>
        <w:rPr>
          <w:spacing w:val="9"/>
        </w:rPr>
        <w:t>会</w:t>
      </w:r>
      <w:r>
        <w:rPr>
          <w:spacing w:val="7"/>
        </w:rPr>
        <w:t>计</w:t>
      </w:r>
      <w:r>
        <w:rPr>
          <w:spacing w:val="14"/>
        </w:rPr>
        <w:t>师</w:t>
      </w:r>
      <w:r>
        <w:rPr>
          <w:spacing w:val="7"/>
        </w:rPr>
        <w:t>审</w:t>
      </w:r>
      <w:r>
        <w:rPr>
          <w:spacing w:val="9"/>
        </w:rPr>
        <w:t>计</w:t>
      </w:r>
      <w:r>
        <w:rPr>
          <w:spacing w:val="7"/>
        </w:rPr>
        <w:t>工</w:t>
      </w:r>
      <w:r>
        <w:rPr>
          <w:spacing w:val="10"/>
        </w:rPr>
        <w:t>作</w:t>
      </w:r>
      <w:r>
        <w:rPr>
          <w:spacing w:val="7"/>
        </w:rPr>
        <w:t>底</w:t>
      </w:r>
      <w:r>
        <w:rPr>
          <w:spacing w:val="9"/>
        </w:rPr>
        <w:t>稿</w:t>
      </w:r>
      <w:r>
        <w:rPr/>
        <w:t>的</w:t>
      </w:r>
      <w:r>
        <w:rPr/>
        <w:t> </w:t>
      </w:r>
      <w:r>
        <w:rPr>
          <w:spacing w:val="-1"/>
        </w:rPr>
        <w:t>相关部分。</w:t>
      </w:r>
    </w:p>
    <w:p>
      <w:pPr>
        <w:pStyle w:val="BodyText"/>
        <w:spacing w:line="366" w:lineRule="auto" w:before="44"/>
        <w:ind w:right="108"/>
        <w:jc w:val="both"/>
      </w:pPr>
      <w:r>
        <w:rPr>
          <w:rFonts w:ascii="黑体" w:hAnsi="黑体" w:cs="黑体" w:eastAsia="黑体"/>
        </w:rPr>
        <w:t>第五十六条</w:t>
      </w:r>
      <w:r>
        <w:rPr>
          <w:rFonts w:ascii="黑体" w:hAnsi="黑体" w:cs="黑体" w:eastAsia="黑体"/>
          <w:spacing w:val="86"/>
        </w:rPr>
        <w:t> </w:t>
      </w:r>
      <w:r>
        <w:rPr/>
        <w:t>如果认为组成部分注册会计师的工作不充分，集团项</w:t>
      </w:r>
      <w:r>
        <w:rPr/>
        <w:t> </w:t>
      </w:r>
      <w:r>
        <w:rPr>
          <w:spacing w:val="7"/>
        </w:rPr>
        <w:t>目组应当确定需要实施哪些追加的程序，以及这些程序是由组成部分</w:t>
      </w:r>
      <w:r>
        <w:rPr>
          <w:spacing w:val="26"/>
        </w:rPr>
        <w:t> </w:t>
      </w:r>
      <w:r>
        <w:rPr>
          <w:spacing w:val="-1"/>
        </w:rPr>
        <w:t>注册会计师还是由集团项目组实施。</w:t>
      </w:r>
    </w:p>
    <w:p>
      <w:pPr>
        <w:pStyle w:val="BodyText"/>
        <w:spacing w:line="366" w:lineRule="auto" w:before="44"/>
        <w:ind w:right="112"/>
        <w:jc w:val="both"/>
      </w:pPr>
      <w:r>
        <w:rPr>
          <w:rFonts w:ascii="黑体" w:hAnsi="黑体" w:cs="黑体" w:eastAsia="黑体"/>
        </w:rPr>
        <w:t>第五十七条</w:t>
      </w:r>
      <w:r>
        <w:rPr>
          <w:rFonts w:ascii="黑体" w:hAnsi="黑体" w:cs="黑体" w:eastAsia="黑体"/>
          <w:spacing w:val="86"/>
        </w:rPr>
        <w:t> </w:t>
      </w:r>
      <w:r>
        <w:rPr/>
        <w:t>注册会计师应当获取充分、适当的审计证据，将审计</w:t>
      </w:r>
      <w:r>
        <w:rPr/>
        <w:t> </w:t>
      </w:r>
      <w:r>
        <w:rPr>
          <w:spacing w:val="7"/>
        </w:rPr>
        <w:t>风险降至可接受的低水平，从而得出合理的结论以作为形成审计意见</w:t>
      </w:r>
      <w:r>
        <w:rPr>
          <w:spacing w:val="29"/>
        </w:rPr>
        <w:t> </w:t>
      </w:r>
      <w:r>
        <w:rPr/>
        <w:t>的基础。</w:t>
      </w:r>
    </w:p>
    <w:p>
      <w:pPr>
        <w:pStyle w:val="BodyText"/>
        <w:spacing w:line="367" w:lineRule="auto" w:before="44"/>
        <w:ind w:right="106"/>
        <w:jc w:val="both"/>
      </w:pPr>
      <w:r>
        <w:rPr>
          <w:spacing w:val="7"/>
        </w:rPr>
        <w:t>集团项目组应当评价，通过对合并过程实施的审计程序以及由集</w:t>
      </w:r>
      <w:r>
        <w:rPr>
          <w:spacing w:val="52"/>
        </w:rPr>
        <w:t> </w:t>
      </w:r>
      <w:r>
        <w:rPr>
          <w:spacing w:val="7"/>
        </w:rPr>
        <w:t>团项目组和组成部分注册会计师对组成部分财务信息执行的工作，是</w:t>
      </w:r>
      <w:r>
        <w:rPr>
          <w:spacing w:val="30"/>
        </w:rPr>
        <w:t> </w:t>
      </w:r>
      <w:r>
        <w:rPr>
          <w:spacing w:val="-2"/>
        </w:rPr>
        <w:t>否已获取充分、适当的审计证据，作为形成集团审计意见的基础。</w:t>
      </w:r>
    </w:p>
    <w:p>
      <w:pPr>
        <w:pStyle w:val="BodyText"/>
        <w:tabs>
          <w:tab w:pos="2307" w:val="left" w:leader="none"/>
        </w:tabs>
        <w:spacing w:line="240" w:lineRule="auto" w:before="44"/>
        <w:ind w:left="677" w:right="0" w:firstLine="0"/>
        <w:jc w:val="left"/>
      </w:pPr>
      <w:r>
        <w:rPr>
          <w:rFonts w:ascii="黑体" w:hAnsi="黑体" w:cs="黑体" w:eastAsia="黑体"/>
        </w:rPr>
        <w:t>第五十八条</w:t>
        <w:tab/>
      </w:r>
      <w:r>
        <w:rPr/>
        <w:t>集团项目合伙人应当评价未更正错报（无论该错报是</w:t>
      </w:r>
    </w:p>
    <w:p>
      <w:pPr>
        <w:spacing w:after="0" w:line="240" w:lineRule="auto"/>
        <w:jc w:val="left"/>
        <w:sectPr>
          <w:pgSz w:w="12240" w:h="15840"/>
          <w:pgMar w:header="0" w:footer="706" w:top="1500" w:bottom="900" w:left="1680" w:right="1680"/>
        </w:sectPr>
      </w:pPr>
    </w:p>
    <w:p>
      <w:pPr>
        <w:pStyle w:val="BodyText"/>
        <w:spacing w:line="366" w:lineRule="auto" w:before="62"/>
        <w:ind w:right="112" w:firstLine="0"/>
        <w:jc w:val="left"/>
      </w:pPr>
      <w:r>
        <w:rPr>
          <w:spacing w:val="7"/>
        </w:rPr>
        <w:t>由集团项目组识别出的还是由组成部分注册会计师告知的）和未能获</w:t>
      </w:r>
      <w:r>
        <w:rPr>
          <w:spacing w:val="30"/>
        </w:rPr>
        <w:t> </w:t>
      </w:r>
      <w:r>
        <w:rPr>
          <w:spacing w:val="-2"/>
        </w:rPr>
        <w:t>取充分、适当的审计证据的情况对集团审计意见的影响。</w:t>
      </w:r>
    </w:p>
    <w:p>
      <w:pPr>
        <w:spacing w:line="240" w:lineRule="auto" w:before="0"/>
        <w:rPr>
          <w:rFonts w:ascii="宋体" w:hAnsi="宋体" w:cs="宋体" w:eastAsia="宋体"/>
          <w:sz w:val="28"/>
          <w:szCs w:val="28"/>
        </w:rPr>
      </w:pPr>
    </w:p>
    <w:p>
      <w:pPr>
        <w:spacing w:line="240" w:lineRule="auto" w:before="13"/>
        <w:rPr>
          <w:rFonts w:ascii="宋体" w:hAnsi="宋体" w:cs="宋体" w:eastAsia="宋体"/>
          <w:sz w:val="23"/>
          <w:szCs w:val="23"/>
        </w:rPr>
      </w:pPr>
    </w:p>
    <w:p>
      <w:pPr>
        <w:pStyle w:val="Heading1"/>
        <w:tabs>
          <w:tab w:pos="2832" w:val="left" w:leader="none"/>
        </w:tabs>
        <w:spacing w:line="240" w:lineRule="auto"/>
        <w:ind w:left="1229" w:right="0"/>
        <w:jc w:val="left"/>
        <w:rPr>
          <w:b w:val="0"/>
          <w:bCs w:val="0"/>
        </w:rPr>
      </w:pPr>
      <w:r>
        <w:rPr>
          <w:w w:val="95"/>
        </w:rPr>
        <w:t>第十二节</w:t>
        <w:tab/>
      </w:r>
      <w:r>
        <w:rPr>
          <w:spacing w:val="2"/>
        </w:rPr>
        <w:t>与集团管理层和集团治理层的沟通</w:t>
      </w:r>
      <w:r>
        <w:rPr>
          <w:b w:val="0"/>
          <w:bCs w:val="0"/>
        </w:rPr>
      </w:r>
    </w:p>
    <w:p>
      <w:pPr>
        <w:spacing w:line="240" w:lineRule="auto" w:before="0"/>
        <w:rPr>
          <w:rFonts w:ascii="宋体" w:hAnsi="宋体" w:cs="宋体" w:eastAsia="宋体"/>
          <w:b/>
          <w:bCs/>
          <w:sz w:val="32"/>
          <w:szCs w:val="32"/>
        </w:rPr>
      </w:pPr>
    </w:p>
    <w:p>
      <w:pPr>
        <w:spacing w:line="240" w:lineRule="auto" w:before="3"/>
        <w:rPr>
          <w:rFonts w:ascii="宋体" w:hAnsi="宋体" w:cs="宋体" w:eastAsia="宋体"/>
          <w:b/>
          <w:bCs/>
          <w:sz w:val="25"/>
          <w:szCs w:val="25"/>
        </w:rPr>
      </w:pPr>
    </w:p>
    <w:p>
      <w:pPr>
        <w:pStyle w:val="BodyText"/>
        <w:spacing w:line="356" w:lineRule="auto" w:before="0"/>
        <w:ind w:right="106"/>
        <w:jc w:val="both"/>
      </w:pPr>
      <w:r>
        <w:rPr>
          <w:rFonts w:ascii="黑体" w:hAnsi="黑体" w:cs="黑体" w:eastAsia="黑体"/>
          <w:spacing w:val="7"/>
        </w:rPr>
        <w:t>第五十九条</w:t>
      </w:r>
      <w:r>
        <w:rPr>
          <w:rFonts w:ascii="黑体" w:hAnsi="黑体" w:cs="黑体" w:eastAsia="黑体"/>
          <w:spacing w:val="117"/>
        </w:rPr>
        <w:t> </w:t>
      </w:r>
      <w:r>
        <w:rPr>
          <w:spacing w:val="8"/>
        </w:rPr>
        <w:t>集团项目组应当按照《中国注册会计师审计准则第</w:t>
      </w:r>
      <w:r>
        <w:rPr>
          <w:spacing w:val="48"/>
        </w:rPr>
        <w:t> </w:t>
      </w:r>
      <w:r>
        <w:rPr>
          <w:rFonts w:ascii="Times New Roman" w:hAnsi="Times New Roman" w:cs="Times New Roman" w:eastAsia="Times New Roman"/>
          <w:spacing w:val="-4"/>
        </w:rPr>
        <w:t>1152</w:t>
      </w:r>
      <w:r>
        <w:rPr>
          <w:rFonts w:ascii="Times New Roman" w:hAnsi="Times New Roman" w:cs="Times New Roman" w:eastAsia="Times New Roman"/>
          <w:spacing w:val="46"/>
        </w:rPr>
        <w:t> </w:t>
      </w:r>
      <w:r>
        <w:rPr>
          <w:spacing w:val="3"/>
        </w:rPr>
        <w:t>号</w:t>
      </w:r>
      <w:r>
        <w:rPr>
          <w:rFonts w:ascii="Times New Roman" w:hAnsi="Times New Roman" w:cs="Times New Roman" w:eastAsia="Times New Roman"/>
          <w:spacing w:val="3"/>
        </w:rPr>
        <w:t>——</w:t>
      </w:r>
      <w:r>
        <w:rPr>
          <w:spacing w:val="3"/>
        </w:rPr>
        <w:t>向治理层和管理层通报内部控制缺陷》的规定，确定哪些</w:t>
      </w:r>
      <w:r>
        <w:rPr>
          <w:spacing w:val="56"/>
        </w:rPr>
        <w:t> </w:t>
      </w:r>
      <w:r>
        <w:rPr>
          <w:spacing w:val="-1"/>
        </w:rPr>
        <w:t>识别出的内部控制缺陷需要向集团治理层和集团管理层通报。</w:t>
      </w:r>
    </w:p>
    <w:p>
      <w:pPr>
        <w:pStyle w:val="BodyText"/>
        <w:spacing w:line="240" w:lineRule="auto" w:before="59"/>
        <w:ind w:left="677" w:right="0" w:firstLine="0"/>
        <w:jc w:val="left"/>
      </w:pPr>
      <w:r>
        <w:rPr>
          <w:spacing w:val="-1"/>
        </w:rPr>
        <w:t>在确定通报的内容时，集团项目组应当考虑：</w:t>
      </w:r>
    </w:p>
    <w:p>
      <w:pPr>
        <w:pStyle w:val="BodyText"/>
        <w:spacing w:line="240" w:lineRule="auto"/>
        <w:ind w:left="677" w:right="0" w:firstLine="0"/>
        <w:jc w:val="left"/>
      </w:pPr>
      <w:r>
        <w:rPr>
          <w:spacing w:val="-1"/>
        </w:rPr>
        <w:t>（一）集团项目组识别出的集团层面内部控制缺陷；</w:t>
      </w:r>
    </w:p>
    <w:p>
      <w:pPr>
        <w:pStyle w:val="BodyText"/>
        <w:spacing w:line="240" w:lineRule="auto"/>
        <w:ind w:left="677" w:right="0" w:firstLine="0"/>
        <w:jc w:val="left"/>
      </w:pPr>
      <w:r>
        <w:rPr>
          <w:spacing w:val="-1"/>
        </w:rPr>
        <w:t>（二）集团项目组识别出的组成部分层面内部控制缺陷；</w:t>
      </w:r>
    </w:p>
    <w:p>
      <w:pPr>
        <w:pStyle w:val="BodyText"/>
        <w:spacing w:line="366" w:lineRule="auto" w:before="195"/>
        <w:ind w:right="121"/>
        <w:jc w:val="both"/>
      </w:pPr>
      <w:r>
        <w:rPr>
          <w:spacing w:val="17"/>
        </w:rPr>
        <w:t>（三）组成部分注册会计师提请集团项目组关注的内部控制缺</w:t>
      </w:r>
      <w:r>
        <w:rPr>
          <w:spacing w:val="42"/>
        </w:rPr>
        <w:t> </w:t>
      </w:r>
      <w:r>
        <w:rPr/>
        <w:t>陷。</w:t>
      </w:r>
    </w:p>
    <w:p>
      <w:pPr>
        <w:pStyle w:val="BodyText"/>
        <w:spacing w:line="366" w:lineRule="auto" w:before="45"/>
        <w:ind w:right="106"/>
        <w:jc w:val="both"/>
      </w:pPr>
      <w:r>
        <w:rPr>
          <w:rFonts w:ascii="黑体" w:hAnsi="黑体" w:cs="黑体" w:eastAsia="黑体"/>
        </w:rPr>
        <w:t>第六十条</w:t>
      </w:r>
      <w:r>
        <w:rPr>
          <w:rFonts w:ascii="黑体" w:hAnsi="黑体" w:cs="黑体" w:eastAsia="黑体"/>
          <w:spacing w:val="85"/>
        </w:rPr>
        <w:t> </w:t>
      </w:r>
      <w:r>
        <w:rPr/>
        <w:t>如果集团项目组识别出舞弊或组成部分注册会计师提请</w:t>
      </w:r>
      <w:r>
        <w:rPr/>
        <w:t> </w:t>
      </w:r>
      <w:r>
        <w:rPr>
          <w:spacing w:val="7"/>
        </w:rPr>
        <w:t>集团项目组关注舞弊，或者有关信息表明可能存在舞弊，集团项目组</w:t>
      </w:r>
      <w:r>
        <w:rPr>
          <w:spacing w:val="30"/>
        </w:rPr>
        <w:t> </w:t>
      </w:r>
      <w:r>
        <w:rPr>
          <w:spacing w:val="7"/>
        </w:rPr>
        <w:t>应当及时向适当层级的集团管理层通报，以便管理层告知主要负责防</w:t>
      </w:r>
      <w:r>
        <w:rPr>
          <w:spacing w:val="22"/>
        </w:rPr>
        <w:t> </w:t>
      </w:r>
      <w:r>
        <w:rPr>
          <w:spacing w:val="-1"/>
        </w:rPr>
        <w:t>止和发现舞弊事项的人员。</w:t>
      </w:r>
    </w:p>
    <w:p>
      <w:pPr>
        <w:pStyle w:val="BodyText"/>
        <w:spacing w:line="366" w:lineRule="auto" w:before="47"/>
        <w:ind w:right="112"/>
        <w:jc w:val="both"/>
      </w:pPr>
      <w:r>
        <w:rPr>
          <w:rFonts w:ascii="黑体" w:hAnsi="黑体" w:cs="黑体" w:eastAsia="黑体"/>
        </w:rPr>
        <w:t>第六十一条</w:t>
      </w:r>
      <w:r>
        <w:rPr>
          <w:rFonts w:ascii="黑体" w:hAnsi="黑体" w:cs="黑体" w:eastAsia="黑体"/>
          <w:spacing w:val="86"/>
        </w:rPr>
        <w:t> </w:t>
      </w:r>
      <w:r>
        <w:rPr/>
        <w:t>因法律法规要求或其他原因，组成部分注册会计师可</w:t>
      </w:r>
      <w:r>
        <w:rPr/>
        <w:t> </w:t>
      </w:r>
      <w:r>
        <w:rPr>
          <w:spacing w:val="7"/>
        </w:rPr>
        <w:t>能需要对组成部分财务报表发表审计意见。在这种情况下，集团项目</w:t>
      </w:r>
      <w:r>
        <w:rPr>
          <w:spacing w:val="29"/>
        </w:rPr>
        <w:t> </w:t>
      </w:r>
      <w:r>
        <w:rPr>
          <w:spacing w:val="7"/>
        </w:rPr>
        <w:t>组应当要求集团管理层告知组成部分管理层其尚未知悉的、集团项目</w:t>
      </w:r>
      <w:r>
        <w:rPr>
          <w:spacing w:val="30"/>
        </w:rPr>
        <w:t> </w:t>
      </w:r>
      <w:r>
        <w:rPr>
          <w:spacing w:val="-2"/>
        </w:rPr>
        <w:t>组注意到的可能对组成部分财务报表产生重要影响的事项。</w:t>
      </w:r>
    </w:p>
    <w:p>
      <w:pPr>
        <w:pStyle w:val="BodyText"/>
        <w:spacing w:line="240" w:lineRule="auto" w:before="44"/>
        <w:ind w:left="677" w:right="0" w:firstLine="0"/>
        <w:jc w:val="left"/>
      </w:pPr>
      <w:r>
        <w:rPr>
          <w:spacing w:val="7"/>
        </w:rPr>
        <w:t>如果集团管理层拒绝向组成部分管理层通报该事项，集团项目组</w:t>
      </w:r>
    </w:p>
    <w:p>
      <w:pPr>
        <w:spacing w:after="0" w:line="240" w:lineRule="auto"/>
        <w:jc w:val="left"/>
        <w:sectPr>
          <w:pgSz w:w="12240" w:h="15840"/>
          <w:pgMar w:header="0" w:footer="706" w:top="1500" w:bottom="900" w:left="1680" w:right="1680"/>
        </w:sectPr>
      </w:pPr>
    </w:p>
    <w:p>
      <w:pPr>
        <w:pStyle w:val="BodyText"/>
        <w:spacing w:line="366" w:lineRule="auto" w:before="62"/>
        <w:ind w:left="677" w:right="0" w:hanging="560"/>
        <w:jc w:val="left"/>
      </w:pPr>
      <w:r>
        <w:rPr>
          <w:spacing w:val="-1"/>
        </w:rPr>
        <w:t>应当与集团治理层进行讨论。</w:t>
      </w:r>
      <w:r>
        <w:rPr>
          <w:spacing w:val="22"/>
        </w:rPr>
        <w:t> </w:t>
      </w:r>
      <w:r>
        <w:rPr>
          <w:spacing w:val="7"/>
        </w:rPr>
        <w:t>如果该事项仍未得到解决，集团项目组在遵守法律法规和职业准</w:t>
      </w:r>
    </w:p>
    <w:p>
      <w:pPr>
        <w:pStyle w:val="BodyText"/>
        <w:spacing w:line="366" w:lineRule="auto" w:before="48"/>
        <w:ind w:right="112" w:firstLine="0"/>
        <w:jc w:val="left"/>
      </w:pPr>
      <w:r>
        <w:rPr>
          <w:spacing w:val="7"/>
        </w:rPr>
        <w:t>则有关保密要求的前提下，应当考虑是否建议组成部分注册会计师在</w:t>
      </w:r>
      <w:r>
        <w:rPr>
          <w:spacing w:val="24"/>
        </w:rPr>
        <w:t> </w:t>
      </w:r>
      <w:r>
        <w:rPr>
          <w:spacing w:val="-2"/>
        </w:rPr>
        <w:t>该事项得到解决之前，不对组成部分财务报表出具审计报告。</w:t>
      </w:r>
    </w:p>
    <w:p>
      <w:pPr>
        <w:pStyle w:val="BodyText"/>
        <w:spacing w:line="357" w:lineRule="auto" w:before="45"/>
        <w:ind w:right="108"/>
        <w:jc w:val="both"/>
      </w:pPr>
      <w:r>
        <w:rPr>
          <w:rFonts w:ascii="黑体" w:hAnsi="黑体" w:cs="黑体" w:eastAsia="黑体"/>
          <w:spacing w:val="1"/>
        </w:rPr>
        <w:t>第六十二条</w:t>
      </w:r>
      <w:r>
        <w:rPr>
          <w:rFonts w:ascii="黑体" w:hAnsi="黑体" w:cs="黑体" w:eastAsia="黑体"/>
          <w:spacing w:val="91"/>
        </w:rPr>
        <w:t> </w:t>
      </w:r>
      <w:r>
        <w:rPr>
          <w:spacing w:val="1"/>
        </w:rPr>
        <w:t>除《中国注册会计师审计准则第</w:t>
      </w:r>
      <w:r>
        <w:rPr>
          <w:spacing w:val="3"/>
        </w:rPr>
        <w:t> </w:t>
      </w:r>
      <w:r>
        <w:rPr>
          <w:rFonts w:ascii="Times New Roman" w:hAnsi="Times New Roman" w:cs="Times New Roman" w:eastAsia="Times New Roman"/>
          <w:spacing w:val="-4"/>
        </w:rPr>
        <w:t>1151</w:t>
      </w:r>
      <w:r>
        <w:rPr>
          <w:rFonts w:ascii="Times New Roman" w:hAnsi="Times New Roman" w:cs="Times New Roman" w:eastAsia="Times New Roman"/>
          <w:spacing w:val="43"/>
        </w:rPr>
        <w:t> </w:t>
      </w:r>
      <w:r>
        <w:rPr>
          <w:spacing w:val="1"/>
        </w:rPr>
        <w:t>号</w:t>
      </w:r>
      <w:r>
        <w:rPr>
          <w:rFonts w:ascii="Times New Roman" w:hAnsi="Times New Roman" w:cs="Times New Roman" w:eastAsia="Times New Roman"/>
          <w:spacing w:val="1"/>
        </w:rPr>
        <w:t>——</w:t>
      </w:r>
      <w:r>
        <w:rPr>
          <w:spacing w:val="1"/>
        </w:rPr>
        <w:t>与治理</w:t>
      </w:r>
      <w:r>
        <w:rPr>
          <w:spacing w:val="28"/>
        </w:rPr>
        <w:t> </w:t>
      </w:r>
      <w:r>
        <w:rPr>
          <w:spacing w:val="7"/>
        </w:rPr>
        <w:t>层的沟通》和其他审计准则要求沟通的事项外，集团项目组还应当与</w:t>
      </w:r>
      <w:r>
        <w:rPr>
          <w:spacing w:val="24"/>
        </w:rPr>
        <w:t> </w:t>
      </w:r>
      <w:r>
        <w:rPr>
          <w:spacing w:val="-1"/>
        </w:rPr>
        <w:t>集团治理层沟通下列事项：</w:t>
      </w:r>
    </w:p>
    <w:p>
      <w:pPr>
        <w:pStyle w:val="BodyText"/>
        <w:spacing w:line="240" w:lineRule="auto" w:before="56"/>
        <w:ind w:left="677" w:right="0" w:firstLine="0"/>
        <w:jc w:val="left"/>
      </w:pPr>
      <w:r>
        <w:rPr>
          <w:spacing w:val="-1"/>
        </w:rPr>
        <w:t>（一）对组成部分财务信息拟执行工作的类型的概述；</w:t>
      </w:r>
    </w:p>
    <w:p>
      <w:pPr>
        <w:pStyle w:val="BodyText"/>
        <w:spacing w:line="366" w:lineRule="auto" w:before="195"/>
        <w:ind w:right="116"/>
        <w:jc w:val="both"/>
      </w:pPr>
      <w:r>
        <w:rPr>
          <w:spacing w:val="7"/>
        </w:rPr>
        <w:t>（二）在组成部分注册会计师对重要组成部分财务信息拟执行的</w:t>
      </w:r>
      <w:r>
        <w:rPr>
          <w:spacing w:val="42"/>
        </w:rPr>
        <w:t> </w:t>
      </w:r>
      <w:r>
        <w:rPr>
          <w:spacing w:val="-1"/>
        </w:rPr>
        <w:t>工作中，集团项目组计划参与其工作的性质的概述；</w:t>
      </w:r>
    </w:p>
    <w:p>
      <w:pPr>
        <w:pStyle w:val="BodyText"/>
        <w:spacing w:line="367" w:lineRule="auto" w:before="45"/>
        <w:ind w:right="109"/>
        <w:jc w:val="both"/>
      </w:pPr>
      <w:r>
        <w:rPr>
          <w:spacing w:val="7"/>
        </w:rPr>
        <w:t>（三）对组成部分注册会计师的工作作出的评价，引起集团项目</w:t>
      </w:r>
      <w:r>
        <w:rPr>
          <w:spacing w:val="50"/>
        </w:rPr>
        <w:t> </w:t>
      </w:r>
      <w:r>
        <w:rPr>
          <w:spacing w:val="-1"/>
        </w:rPr>
        <w:t>组对其工作质量产生疑虑的情形；</w:t>
      </w:r>
    </w:p>
    <w:p>
      <w:pPr>
        <w:pStyle w:val="BodyText"/>
        <w:spacing w:line="366" w:lineRule="auto" w:before="43"/>
        <w:ind w:right="108"/>
        <w:jc w:val="both"/>
      </w:pPr>
      <w:r>
        <w:rPr>
          <w:spacing w:val="7"/>
        </w:rPr>
        <w:t>（四）集团审计受到的限制，如集团项目组接触某些信息受到的</w:t>
      </w:r>
      <w:r>
        <w:rPr>
          <w:spacing w:val="54"/>
        </w:rPr>
        <w:t> </w:t>
      </w:r>
      <w:r>
        <w:rPr/>
        <w:t>限制；</w:t>
      </w:r>
    </w:p>
    <w:p>
      <w:pPr>
        <w:pStyle w:val="BodyText"/>
        <w:spacing w:line="366" w:lineRule="auto" w:before="47"/>
        <w:ind w:right="108"/>
        <w:jc w:val="both"/>
      </w:pPr>
      <w:r>
        <w:rPr>
          <w:spacing w:val="8"/>
        </w:rPr>
        <w:t>（五）涉及集团管理层、组成部分管理层、在集团层面控制中承</w:t>
      </w:r>
      <w:r>
        <w:rPr>
          <w:spacing w:val="21"/>
        </w:rPr>
        <w:t> </w:t>
      </w:r>
      <w:r>
        <w:rPr>
          <w:spacing w:val="7"/>
        </w:rPr>
        <w:t>担重要职责的员工以及其他人员（在舞弊行为导致集团财务报表出现</w:t>
      </w:r>
      <w:r>
        <w:rPr>
          <w:spacing w:val="26"/>
        </w:rPr>
        <w:t> </w:t>
      </w:r>
      <w:r>
        <w:rPr>
          <w:spacing w:val="-1"/>
        </w:rPr>
        <w:t>重大错报的情况下）的舞弊或舞弊嫌疑。</w:t>
      </w:r>
    </w:p>
    <w:p>
      <w:pPr>
        <w:spacing w:line="240" w:lineRule="auto" w:before="0"/>
        <w:rPr>
          <w:rFonts w:ascii="宋体" w:hAnsi="宋体" w:cs="宋体" w:eastAsia="宋体"/>
          <w:sz w:val="28"/>
          <w:szCs w:val="28"/>
        </w:rPr>
      </w:pPr>
    </w:p>
    <w:p>
      <w:pPr>
        <w:spacing w:line="240" w:lineRule="auto" w:before="13"/>
        <w:rPr>
          <w:rFonts w:ascii="宋体" w:hAnsi="宋体" w:cs="宋体" w:eastAsia="宋体"/>
          <w:sz w:val="23"/>
          <w:szCs w:val="23"/>
        </w:rPr>
      </w:pPr>
    </w:p>
    <w:p>
      <w:pPr>
        <w:pStyle w:val="Heading1"/>
        <w:tabs>
          <w:tab w:pos="1607" w:val="left" w:leader="none"/>
        </w:tabs>
        <w:spacing w:line="240" w:lineRule="auto"/>
        <w:ind w:left="4" w:right="0"/>
        <w:jc w:val="center"/>
        <w:rPr>
          <w:b w:val="0"/>
          <w:bCs w:val="0"/>
        </w:rPr>
      </w:pPr>
      <w:r>
        <w:rPr>
          <w:w w:val="95"/>
        </w:rPr>
        <w:t>第十三节</w:t>
        <w:tab/>
      </w:r>
      <w:r>
        <w:rPr>
          <w:spacing w:val="2"/>
        </w:rPr>
        <w:t>审计工作底稿</w:t>
      </w:r>
      <w:r>
        <w:rPr>
          <w:b w:val="0"/>
          <w:bCs w:val="0"/>
        </w:rPr>
      </w:r>
    </w:p>
    <w:p>
      <w:pPr>
        <w:spacing w:line="240" w:lineRule="auto" w:before="0"/>
        <w:rPr>
          <w:rFonts w:ascii="宋体" w:hAnsi="宋体" w:cs="宋体" w:eastAsia="宋体"/>
          <w:b/>
          <w:bCs/>
          <w:sz w:val="32"/>
          <w:szCs w:val="32"/>
        </w:rPr>
      </w:pPr>
    </w:p>
    <w:p>
      <w:pPr>
        <w:spacing w:line="240" w:lineRule="auto" w:before="3"/>
        <w:rPr>
          <w:rFonts w:ascii="宋体" w:hAnsi="宋体" w:cs="宋体" w:eastAsia="宋体"/>
          <w:b/>
          <w:bCs/>
          <w:sz w:val="25"/>
          <w:szCs w:val="25"/>
        </w:rPr>
      </w:pPr>
    </w:p>
    <w:p>
      <w:pPr>
        <w:pStyle w:val="BodyText"/>
        <w:spacing w:line="240" w:lineRule="auto" w:before="0"/>
        <w:ind w:left="677" w:right="0" w:firstLine="0"/>
        <w:jc w:val="left"/>
      </w:pPr>
      <w:r>
        <w:rPr>
          <w:rFonts w:ascii="黑体" w:hAnsi="黑体" w:cs="黑体" w:eastAsia="黑体"/>
          <w:spacing w:val="-1"/>
        </w:rPr>
        <w:t>第六十三条 </w:t>
      </w:r>
      <w:r>
        <w:rPr>
          <w:spacing w:val="-1"/>
        </w:rPr>
        <w:t>集团项目组应当就下列事项形成审计工作底稿：</w:t>
      </w:r>
    </w:p>
    <w:p>
      <w:pPr>
        <w:pStyle w:val="BodyText"/>
        <w:spacing w:line="240" w:lineRule="auto"/>
        <w:ind w:left="677" w:right="0" w:firstLine="0"/>
        <w:jc w:val="left"/>
      </w:pPr>
      <w:r>
        <w:rPr>
          <w:spacing w:val="7"/>
        </w:rPr>
        <w:t>（一）对组成部分的分析，指明重要组成部分以及对组成部分财</w:t>
      </w:r>
    </w:p>
    <w:p>
      <w:pPr>
        <w:spacing w:after="0" w:line="240" w:lineRule="auto"/>
        <w:jc w:val="left"/>
        <w:sectPr>
          <w:pgSz w:w="12240" w:h="15840"/>
          <w:pgMar w:header="0" w:footer="706" w:top="1500" w:bottom="900" w:left="1680" w:right="1680"/>
        </w:sectPr>
      </w:pPr>
    </w:p>
    <w:p>
      <w:pPr>
        <w:pStyle w:val="BodyText"/>
        <w:spacing w:line="240" w:lineRule="auto" w:before="62"/>
        <w:ind w:right="0" w:firstLine="0"/>
        <w:jc w:val="left"/>
      </w:pPr>
      <w:r>
        <w:rPr>
          <w:spacing w:val="-1"/>
        </w:rPr>
        <w:t>务信息执行工作的类型；</w:t>
      </w:r>
    </w:p>
    <w:p>
      <w:pPr>
        <w:pStyle w:val="BodyText"/>
        <w:spacing w:line="366" w:lineRule="auto"/>
        <w:ind w:right="116"/>
        <w:jc w:val="both"/>
      </w:pPr>
      <w:r>
        <w:rPr>
          <w:spacing w:val="7"/>
        </w:rPr>
        <w:t>（二）对于重要组成部分，集团项目组参与该组成部分注册会计</w:t>
      </w:r>
      <w:r>
        <w:rPr>
          <w:spacing w:val="42"/>
        </w:rPr>
        <w:t> </w:t>
      </w:r>
      <w:r>
        <w:rPr>
          <w:spacing w:val="7"/>
        </w:rPr>
        <w:t>师工作的性质、时间安排和范围，如果适用，还包括集团项目组对组</w:t>
      </w:r>
      <w:r>
        <w:rPr>
          <w:spacing w:val="51"/>
        </w:rPr>
        <w:t> </w:t>
      </w:r>
      <w:r>
        <w:rPr>
          <w:spacing w:val="7"/>
        </w:rPr>
        <w:t>成部分注册会计师审计工作底稿的相关部分进行的复核以及由此得出</w:t>
      </w:r>
      <w:r>
        <w:rPr>
          <w:spacing w:val="28"/>
        </w:rPr>
        <w:t> </w:t>
      </w:r>
      <w:r>
        <w:rPr>
          <w:spacing w:val="-1"/>
        </w:rPr>
        <w:t>的结论；</w:t>
      </w:r>
    </w:p>
    <w:p>
      <w:pPr>
        <w:pStyle w:val="BodyText"/>
        <w:spacing w:line="366" w:lineRule="auto" w:before="47"/>
        <w:ind w:right="128"/>
        <w:jc w:val="both"/>
      </w:pPr>
      <w:r>
        <w:rPr>
          <w:spacing w:val="9"/>
        </w:rPr>
        <w:t>（</w:t>
      </w:r>
      <w:r>
        <w:rPr>
          <w:spacing w:val="7"/>
        </w:rPr>
        <w:t>三</w:t>
      </w:r>
      <w:r>
        <w:rPr>
          <w:spacing w:val="9"/>
        </w:rPr>
        <w:t>）</w:t>
      </w:r>
      <w:r>
        <w:rPr>
          <w:spacing w:val="7"/>
        </w:rPr>
        <w:t>集</w:t>
      </w:r>
      <w:r>
        <w:rPr>
          <w:spacing w:val="9"/>
        </w:rPr>
        <w:t>团</w:t>
      </w:r>
      <w:r>
        <w:rPr>
          <w:spacing w:val="7"/>
        </w:rPr>
        <w:t>项</w:t>
      </w:r>
      <w:r>
        <w:rPr>
          <w:spacing w:val="9"/>
        </w:rPr>
        <w:t>目</w:t>
      </w:r>
      <w:r>
        <w:rPr>
          <w:spacing w:val="7"/>
        </w:rPr>
        <w:t>组</w:t>
      </w:r>
      <w:r>
        <w:rPr>
          <w:spacing w:val="9"/>
        </w:rPr>
        <w:t>与</w:t>
      </w:r>
      <w:r>
        <w:rPr>
          <w:spacing w:val="7"/>
        </w:rPr>
        <w:t>组</w:t>
      </w:r>
      <w:r>
        <w:rPr>
          <w:spacing w:val="9"/>
        </w:rPr>
        <w:t>成</w:t>
      </w:r>
      <w:r>
        <w:rPr>
          <w:spacing w:val="7"/>
        </w:rPr>
        <w:t>部</w:t>
      </w:r>
      <w:r>
        <w:rPr>
          <w:spacing w:val="9"/>
        </w:rPr>
        <w:t>分</w:t>
      </w:r>
      <w:r>
        <w:rPr>
          <w:spacing w:val="7"/>
        </w:rPr>
        <w:t>注</w:t>
      </w:r>
      <w:r>
        <w:rPr>
          <w:spacing w:val="9"/>
        </w:rPr>
        <w:t>册</w:t>
      </w:r>
      <w:r>
        <w:rPr>
          <w:spacing w:val="7"/>
        </w:rPr>
        <w:t>会</w:t>
      </w:r>
      <w:r>
        <w:rPr>
          <w:spacing w:val="9"/>
        </w:rPr>
        <w:t>计</w:t>
      </w:r>
      <w:r>
        <w:rPr>
          <w:spacing w:val="7"/>
        </w:rPr>
        <w:t>师</w:t>
      </w:r>
      <w:r>
        <w:rPr>
          <w:spacing w:val="14"/>
        </w:rPr>
        <w:t>就</w:t>
      </w:r>
      <w:r>
        <w:rPr>
          <w:spacing w:val="7"/>
        </w:rPr>
        <w:t>集</w:t>
      </w:r>
      <w:r>
        <w:rPr>
          <w:spacing w:val="9"/>
        </w:rPr>
        <w:t>团</w:t>
      </w:r>
      <w:r>
        <w:rPr>
          <w:spacing w:val="7"/>
        </w:rPr>
        <w:t>项</w:t>
      </w:r>
      <w:r>
        <w:rPr>
          <w:spacing w:val="9"/>
        </w:rPr>
        <w:t>目</w:t>
      </w:r>
      <w:r>
        <w:rPr>
          <w:spacing w:val="7"/>
        </w:rPr>
        <w:t>组</w:t>
      </w:r>
      <w:r>
        <w:rPr>
          <w:spacing w:val="9"/>
        </w:rPr>
        <w:t>提</w:t>
      </w:r>
      <w:r>
        <w:rPr>
          <w:spacing w:val="7"/>
        </w:rPr>
        <w:t>出</w:t>
      </w:r>
      <w:r>
        <w:rPr>
          <w:spacing w:val="11"/>
        </w:rPr>
        <w:t>的</w:t>
      </w:r>
      <w:r>
        <w:rPr/>
        <w:t>工</w:t>
      </w:r>
      <w:r>
        <w:rPr/>
        <w:t> </w:t>
      </w:r>
      <w:r>
        <w:rPr>
          <w:spacing w:val="-1"/>
        </w:rPr>
        <w:t>作要求的书面沟通函件。</w:t>
      </w:r>
    </w:p>
    <w:p>
      <w:pPr>
        <w:spacing w:line="240" w:lineRule="auto" w:before="0"/>
        <w:rPr>
          <w:rFonts w:ascii="宋体" w:hAnsi="宋体" w:cs="宋体" w:eastAsia="宋体"/>
          <w:sz w:val="28"/>
          <w:szCs w:val="28"/>
        </w:rPr>
      </w:pPr>
    </w:p>
    <w:p>
      <w:pPr>
        <w:spacing w:line="240" w:lineRule="auto" w:before="12"/>
        <w:rPr>
          <w:rFonts w:ascii="宋体" w:hAnsi="宋体" w:cs="宋体" w:eastAsia="宋体"/>
          <w:sz w:val="23"/>
          <w:szCs w:val="23"/>
        </w:rPr>
      </w:pPr>
    </w:p>
    <w:p>
      <w:pPr>
        <w:pStyle w:val="Heading2"/>
        <w:tabs>
          <w:tab w:pos="1279" w:val="left" w:leader="none"/>
          <w:tab w:pos="1917" w:val="left" w:leader="none"/>
        </w:tabs>
        <w:spacing w:line="240" w:lineRule="auto"/>
        <w:ind w:right="15"/>
        <w:jc w:val="center"/>
      </w:pPr>
      <w:r>
        <w:rPr>
          <w:w w:val="95"/>
        </w:rPr>
        <w:t>第五章</w:t>
        <w:tab/>
        <w:t>附</w:t>
        <w:tab/>
      </w:r>
      <w:r>
        <w:rPr/>
        <w:t>则</w:t>
      </w:r>
      <w:r>
        <w:rPr/>
      </w:r>
    </w:p>
    <w:p>
      <w:pPr>
        <w:spacing w:line="240" w:lineRule="auto" w:before="0"/>
        <w:rPr>
          <w:rFonts w:ascii="黑体" w:hAnsi="黑体" w:cs="黑体" w:eastAsia="黑体"/>
          <w:sz w:val="32"/>
          <w:szCs w:val="32"/>
        </w:rPr>
      </w:pPr>
    </w:p>
    <w:p>
      <w:pPr>
        <w:spacing w:line="240" w:lineRule="auto" w:before="0"/>
        <w:rPr>
          <w:rFonts w:ascii="黑体" w:hAnsi="黑体" w:cs="黑体" w:eastAsia="黑体"/>
          <w:sz w:val="25"/>
          <w:szCs w:val="25"/>
        </w:rPr>
      </w:pPr>
    </w:p>
    <w:p>
      <w:pPr>
        <w:pStyle w:val="BodyText"/>
        <w:spacing w:line="240" w:lineRule="auto" w:before="0"/>
        <w:ind w:left="677" w:right="0" w:firstLine="0"/>
        <w:jc w:val="left"/>
      </w:pPr>
      <w:r>
        <w:rPr>
          <w:rFonts w:ascii="黑体" w:hAnsi="黑体" w:cs="黑体" w:eastAsia="黑体"/>
          <w:spacing w:val="-1"/>
        </w:rPr>
        <w:t>第六十四条 </w:t>
      </w:r>
      <w:r>
        <w:rPr>
          <w:spacing w:val="-1"/>
        </w:rPr>
        <w:t>本准则自</w:t>
      </w:r>
      <w:r>
        <w:rPr>
          <w:spacing w:val="-70"/>
        </w:rPr>
        <w:t> </w:t>
      </w:r>
      <w:r>
        <w:rPr>
          <w:rFonts w:ascii="Times New Roman" w:hAnsi="Times New Roman" w:cs="Times New Roman" w:eastAsia="Times New Roman"/>
          <w:spacing w:val="-1"/>
        </w:rPr>
        <w:t>2019</w:t>
      </w:r>
      <w:r>
        <w:rPr>
          <w:rFonts w:ascii="Times New Roman" w:hAnsi="Times New Roman" w:cs="Times New Roman" w:eastAsia="Times New Roman"/>
          <w:spacing w:val="-16"/>
        </w:rPr>
        <w:t> </w:t>
      </w:r>
      <w:r>
        <w:rPr/>
        <w:t>年</w:t>
      </w:r>
      <w:r>
        <w:rPr>
          <w:spacing w:val="-71"/>
        </w:rPr>
        <w:t> </w:t>
      </w:r>
      <w:r>
        <w:rPr>
          <w:rFonts w:ascii="Times New Roman" w:hAnsi="Times New Roman" w:cs="Times New Roman" w:eastAsia="Times New Roman"/>
        </w:rPr>
        <w:t>7</w:t>
      </w:r>
      <w:r>
        <w:rPr>
          <w:rFonts w:ascii="Times New Roman" w:hAnsi="Times New Roman" w:cs="Times New Roman" w:eastAsia="Times New Roman"/>
          <w:spacing w:val="-16"/>
        </w:rPr>
        <w:t> </w:t>
      </w:r>
      <w:r>
        <w:rPr/>
        <w:t>月</w:t>
      </w:r>
      <w:r>
        <w:rPr>
          <w:spacing w:val="-68"/>
        </w:rPr>
        <w:t> </w:t>
      </w:r>
      <w:r>
        <w:rPr>
          <w:rFonts w:ascii="Times New Roman" w:hAnsi="Times New Roman" w:cs="Times New Roman" w:eastAsia="Times New Roman"/>
        </w:rPr>
        <w:t>1</w:t>
      </w:r>
      <w:r>
        <w:rPr>
          <w:rFonts w:ascii="Times New Roman" w:hAnsi="Times New Roman" w:cs="Times New Roman" w:eastAsia="Times New Roman"/>
          <w:spacing w:val="-16"/>
        </w:rPr>
        <w:t> </w:t>
      </w:r>
      <w:r>
        <w:rPr>
          <w:spacing w:val="-1"/>
        </w:rPr>
        <w:t>日起施行。</w:t>
      </w:r>
    </w:p>
    <w:sectPr>
      <w:pgSz w:w="12240" w:h="15840"/>
      <w:pgMar w:header="0" w:footer="706" w:top="1500" w:bottom="900" w:left="1680" w:right="16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宋体">
    <w:altName w:val="宋体"/>
    <w:charset w:val="86"/>
    <w:family w:val="auto"/>
    <w:pitch w:val="variable"/>
  </w:font>
  <w:font w:name="黑体">
    <w:altName w:val="黑体"/>
    <w:charset w:val="86"/>
    <w:family w:val="modern"/>
    <w:pitch w:val="fixed"/>
  </w:font>
  <w:font w:name="Malgun Gothic">
    <w:altName w:val="Malgun Gothic"/>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type id="_x0000_t202" o:spt="202" coordsize="21600,21600" path="m,l,21600r21600,l21600,xe">
          <v:stroke joinstyle="miter"/>
          <v:path gradientshapeok="t" o:connecttype="rect"/>
        </v:shapetype>
        <v:shape style="position:absolute;margin-left:299.489990pt;margin-top:745.693909pt;width:13.15pt;height:11pt;mso-position-horizontal-relative:page;mso-position-vertical-relative:page;z-index:-9136" type="#_x0000_t202" filled="false" stroked="false">
          <v:textbox inset="0,0,0,0">
            <w:txbxContent>
              <w:p>
                <w:pPr>
                  <w:spacing w:line="204" w:lineRule="exact" w:before="0"/>
                  <w:ind w:left="40" w:right="0" w:firstLine="0"/>
                  <w:jc w:val="left"/>
                  <w:rPr>
                    <w:rFonts w:ascii="Times New Roman" w:hAnsi="Times New Roman" w:cs="Times New Roman" w:eastAsia="Times New Roman"/>
                    <w:sz w:val="18"/>
                    <w:szCs w:val="18"/>
                  </w:rPr>
                </w:pPr>
                <w:r>
                  <w:rPr>
                    <w:rFonts w:ascii="Times New Roman"/>
                    <w:sz w:val="18"/>
                  </w:rPr>
                </w:r>
                <w:r>
                  <w:rPr/>
                  <w:fldChar w:fldCharType="begin"/>
                </w:r>
                <w:r>
                  <w:rPr>
                    <w:rFonts w:ascii="Times New Roman"/>
                    <w:sz w:val="18"/>
                  </w:rPr>
                  <w:instrText> PAGE </w:instrText>
                </w:r>
                <w:r>
                  <w:rPr/>
                  <w:fldChar w:fldCharType="separate"/>
                </w:r>
                <w:r>
                  <w:rPr/>
                  <w:t>10</w:t>
                </w:r>
                <w:r>
                  <w:rPr/>
                  <w:fldChar w:fldCharType="end"/>
                </w:r>
                <w:r>
                  <w:rPr>
                    <w:rFonts w:ascii="Times New Roman"/>
                    <w:spacing w:val="1"/>
                    <w:sz w:val="18"/>
                  </w:rPr>
                </w:r>
                <w:r>
                  <w:rPr>
                    <w:rFonts w:ascii="Times New Roman"/>
                    <w:sz w:val="18"/>
                  </w:rPr>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after="0"/>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style>
  <w:style w:styleId="BodyText" w:type="paragraph">
    <w:name w:val="Body Text"/>
    <w:basedOn w:val="Normal"/>
    <w:uiPriority w:val="1"/>
    <w:qFormat/>
    <w:pPr>
      <w:spacing w:before="192"/>
      <w:ind w:left="118" w:firstLine="559"/>
    </w:pPr>
    <w:rPr>
      <w:rFonts w:ascii="宋体" w:hAnsi="宋体" w:eastAsia="宋体"/>
      <w:sz w:val="28"/>
      <w:szCs w:val="28"/>
    </w:rPr>
  </w:style>
  <w:style w:styleId="Heading1" w:type="paragraph">
    <w:name w:val="Heading 1"/>
    <w:basedOn w:val="Normal"/>
    <w:uiPriority w:val="1"/>
    <w:qFormat/>
    <w:pPr>
      <w:outlineLvl w:val="1"/>
    </w:pPr>
    <w:rPr>
      <w:rFonts w:ascii="宋体" w:hAnsi="宋体" w:eastAsia="宋体"/>
      <w:b/>
      <w:bCs/>
      <w:sz w:val="32"/>
      <w:szCs w:val="32"/>
    </w:rPr>
  </w:style>
  <w:style w:styleId="Heading2" w:type="paragraph">
    <w:name w:val="Heading 2"/>
    <w:basedOn w:val="Normal"/>
    <w:uiPriority w:val="1"/>
    <w:qFormat/>
    <w:pPr>
      <w:outlineLvl w:val="2"/>
    </w:pPr>
    <w:rPr>
      <w:rFonts w:ascii="黑体" w:hAnsi="黑体" w:eastAsia="黑体"/>
      <w:sz w:val="32"/>
      <w:szCs w:val="32"/>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Application>Microsoft Office Outlook</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Demi Dong</dc:creator>
  <dcterms:created xsi:type="dcterms:W3CDTF">2019-04-10T14:10:03Z</dcterms:created>
  <dcterms:modified xsi:type="dcterms:W3CDTF">2019-04-10T14:10:03Z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2019-04-04T00:00:00Z</vt:filetime>
  </property>
  <property fmtid="{D5CDD505-2E9C-101B-9397-08002B2CF9AE}" pid="3" name="LastSaved">
    <vt:filetime>2019-04-10T00:00:00Z</vt:filetime>
  </property>
</Properties>
</file>