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2938E" w14:textId="77777777" w:rsidR="001331F1" w:rsidRPr="001331F1" w:rsidRDefault="001331F1" w:rsidP="001331F1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hAnsi="宋体" w:cs="宋体"/>
          <w:b/>
          <w:bCs/>
          <w:color w:val="C61F16"/>
          <w:kern w:val="36"/>
          <w:sz w:val="24"/>
          <w:szCs w:val="24"/>
        </w:rPr>
      </w:pPr>
      <w:proofErr w:type="gramStart"/>
      <w:r w:rsidRPr="001331F1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中评协关于</w:t>
      </w:r>
      <w:proofErr w:type="gramEnd"/>
      <w:r w:rsidRPr="001331F1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印发《道路运输物流企业授信额度评估咨询操作指引（试行）》的通知</w:t>
      </w:r>
    </w:p>
    <w:p w14:paraId="26F36C7B" w14:textId="77777777" w:rsidR="001331F1" w:rsidRPr="001331F1" w:rsidRDefault="001331F1" w:rsidP="001331F1">
      <w:pPr>
        <w:widowControl/>
        <w:shd w:val="clear" w:color="auto" w:fill="E7E7E7"/>
        <w:spacing w:line="45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1331F1">
        <w:rPr>
          <w:rFonts w:ascii="宋体" w:hAnsi="宋体" w:cs="宋体" w:hint="eastAsia"/>
          <w:color w:val="000000"/>
          <w:kern w:val="0"/>
          <w:sz w:val="18"/>
          <w:szCs w:val="18"/>
        </w:rPr>
        <w:t>[来源] [作者] [发表时间]2019-12-10</w:t>
      </w:r>
    </w:p>
    <w:p w14:paraId="63955F82" w14:textId="77777777" w:rsidR="001331F1" w:rsidRPr="001331F1" w:rsidRDefault="001331F1" w:rsidP="001331F1">
      <w:pPr>
        <w:widowControl/>
        <w:shd w:val="clear" w:color="auto" w:fill="FFFFFF"/>
        <w:spacing w:line="480" w:lineRule="atLeast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中评协</w:t>
      </w:r>
      <w:proofErr w:type="gramEnd"/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〔2019〕37号</w:t>
      </w:r>
    </w:p>
    <w:p w14:paraId="747DDA3C" w14:textId="77777777" w:rsidR="001331F1" w:rsidRPr="001331F1" w:rsidRDefault="001331F1" w:rsidP="001331F1">
      <w:pPr>
        <w:widowControl/>
        <w:shd w:val="clear" w:color="auto" w:fill="FFFFFF"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各省、自治区、直辖市、计划单列市资产评估协会（注册会计师协会）：</w:t>
      </w:r>
    </w:p>
    <w:p w14:paraId="1B2A321A" w14:textId="77777777" w:rsidR="001331F1" w:rsidRPr="001331F1" w:rsidRDefault="001331F1" w:rsidP="001331F1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为服务普惠金融，指导资产评估机构执行道路运输物流企业授信额度评估咨询业务，中国资产评估协会根据相关法律法规，参考《资产评估执业准则——企业价值》，制定了《道路运输物流企业授信额度评估咨询操作指引（试行）》，</w:t>
      </w:r>
      <w:proofErr w:type="gramStart"/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供资产</w:t>
      </w:r>
      <w:proofErr w:type="gramEnd"/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评估机构执行道路运输物流企业授信额度评估咨询业务时参考，现予印发，自2020年1月1日起试行。</w:t>
      </w:r>
    </w:p>
    <w:p w14:paraId="3CD0BE20" w14:textId="77777777" w:rsidR="001331F1" w:rsidRPr="001331F1" w:rsidRDefault="001331F1" w:rsidP="001331F1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请各地</w:t>
      </w:r>
      <w:proofErr w:type="gramStart"/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方协会</w:t>
      </w:r>
      <w:proofErr w:type="gramEnd"/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将《道路运输物流企业授信额度评估咨询操作指引（试行）》及时转发资产评估机构，组织学习和培训，并将执行过程中发现的问题及时上报中国资产评估协会。</w:t>
      </w: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br/>
        <w:t> </w:t>
      </w:r>
    </w:p>
    <w:p w14:paraId="2F1AB1AF" w14:textId="77777777" w:rsidR="001331F1" w:rsidRPr="001331F1" w:rsidRDefault="001331F1" w:rsidP="001331F1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附件：道路运输物流企业授信额度评估咨询操作指引（试行）</w:t>
      </w: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</w:p>
    <w:p w14:paraId="2E1F5B2B" w14:textId="77777777" w:rsidR="001331F1" w:rsidRPr="001331F1" w:rsidRDefault="001331F1" w:rsidP="001331F1">
      <w:pPr>
        <w:widowControl/>
        <w:shd w:val="clear" w:color="auto" w:fill="FFFFFF"/>
        <w:spacing w:line="480" w:lineRule="atLeast"/>
        <w:ind w:firstLine="480"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中国资产评估协会</w:t>
      </w: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br/>
        <w:t>2019年12月6日</w:t>
      </w:r>
    </w:p>
    <w:p w14:paraId="03F95D3D" w14:textId="77777777" w:rsidR="001331F1" w:rsidRPr="001331F1" w:rsidRDefault="001331F1" w:rsidP="001331F1">
      <w:pPr>
        <w:widowControl/>
        <w:shd w:val="clear" w:color="auto" w:fill="FFFFFF"/>
        <w:spacing w:line="480" w:lineRule="atLeast"/>
        <w:ind w:right="284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107A8DC2" w14:textId="77777777" w:rsidR="001331F1" w:rsidRPr="001331F1" w:rsidRDefault="001331F1" w:rsidP="001331F1">
      <w:pPr>
        <w:widowControl/>
        <w:shd w:val="clear" w:color="auto" w:fill="FFFFFF"/>
        <w:spacing w:line="480" w:lineRule="atLeast"/>
        <w:ind w:right="284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489CFF7A" w14:textId="77777777" w:rsidR="001331F1" w:rsidRPr="001331F1" w:rsidRDefault="001331F1" w:rsidP="001331F1">
      <w:pPr>
        <w:widowControl/>
        <w:shd w:val="clear" w:color="auto" w:fill="FFFFFF"/>
        <w:spacing w:line="480" w:lineRule="atLeast"/>
        <w:ind w:right="284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4A01C768" w14:textId="77777777" w:rsidR="001331F1" w:rsidRPr="001331F1" w:rsidRDefault="001331F1" w:rsidP="001331F1">
      <w:pPr>
        <w:widowControl/>
        <w:shd w:val="clear" w:color="auto" w:fill="FFFFFF"/>
        <w:spacing w:line="480" w:lineRule="atLeast"/>
        <w:ind w:right="840" w:firstLine="36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1331F1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414BC3B0" w14:textId="1A93013E" w:rsidR="001331F1" w:rsidRPr="001331F1" w:rsidRDefault="001331F1" w:rsidP="001331F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331F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附件</w:t>
      </w:r>
    </w:p>
    <w:p w14:paraId="6C19B6DE" w14:textId="44E5B9A5" w:rsidR="00764E1A" w:rsidRPr="001331F1" w:rsidRDefault="001331F1" w:rsidP="008857F1">
      <w:pPr>
        <w:widowControl/>
        <w:numPr>
          <w:ilvl w:val="0"/>
          <w:numId w:val="1"/>
        </w:numPr>
        <w:shd w:val="clear" w:color="auto" w:fill="FFFFFF"/>
        <w:ind w:left="0"/>
        <w:jc w:val="left"/>
      </w:pPr>
      <w:hyperlink r:id="rId5" w:history="1">
        <w:r w:rsidRPr="001331F1">
          <w:rPr>
            <w:rFonts w:ascii="微软雅黑" w:eastAsia="微软雅黑" w:hAnsi="微软雅黑" w:cs="宋体" w:hint="eastAsia"/>
            <w:color w:val="525252"/>
            <w:kern w:val="0"/>
            <w:sz w:val="18"/>
            <w:szCs w:val="18"/>
            <w:u w:val="single"/>
          </w:rPr>
          <w:t>道路运输物流企业授信额度评估咨询操作指引（试行）.pdf</w:t>
        </w:r>
      </w:hyperlink>
      <w:bookmarkStart w:id="0" w:name="_GoBack"/>
      <w:bookmarkEnd w:id="0"/>
    </w:p>
    <w:sectPr w:rsidR="00764E1A" w:rsidRPr="0013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F4C03"/>
    <w:multiLevelType w:val="multilevel"/>
    <w:tmpl w:val="9ED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11"/>
    <w:rsid w:val="001331F1"/>
    <w:rsid w:val="00764E1A"/>
    <w:rsid w:val="008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837B"/>
  <w15:chartTrackingRefBased/>
  <w15:docId w15:val="{53DBDAFC-C0B9-44EF-A0BD-0051EDF2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331F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F1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33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88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s.org.cn/docs/2019-12/2019121017235347134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yqx</dc:creator>
  <cp:keywords/>
  <dc:description/>
  <cp:lastModifiedBy>yqx</cp:lastModifiedBy>
  <cp:revision>3</cp:revision>
  <dcterms:created xsi:type="dcterms:W3CDTF">2019-12-15T14:57:00Z</dcterms:created>
  <dcterms:modified xsi:type="dcterms:W3CDTF">2019-12-15T14:58:00Z</dcterms:modified>
</cp:coreProperties>
</file>