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117" w:rsidRPr="000E0117" w:rsidRDefault="000E0117" w:rsidP="000E0117">
      <w:pPr>
        <w:widowControl/>
        <w:shd w:val="clear" w:color="auto" w:fill="FFFFFF"/>
        <w:spacing w:line="180" w:lineRule="atLeast"/>
        <w:jc w:val="center"/>
        <w:outlineLvl w:val="0"/>
        <w:rPr>
          <w:rFonts w:ascii="Arial" w:eastAsia="宋体" w:hAnsi="Arial" w:cs="Arial"/>
          <w:b/>
          <w:bCs/>
          <w:color w:val="333333"/>
          <w:kern w:val="36"/>
          <w:sz w:val="27"/>
          <w:szCs w:val="27"/>
        </w:rPr>
      </w:pPr>
      <w:r w:rsidRPr="000E0117">
        <w:rPr>
          <w:rFonts w:ascii="Arial" w:eastAsia="宋体" w:hAnsi="Arial" w:cs="Arial"/>
          <w:b/>
          <w:bCs/>
          <w:color w:val="333333"/>
          <w:kern w:val="36"/>
          <w:sz w:val="27"/>
          <w:szCs w:val="27"/>
        </w:rPr>
        <w:t>财政部关于印发《企业会计准则解释第</w:t>
      </w:r>
      <w:r w:rsidRPr="000E0117">
        <w:rPr>
          <w:rFonts w:ascii="Arial" w:eastAsia="宋体" w:hAnsi="Arial" w:cs="Arial"/>
          <w:b/>
          <w:bCs/>
          <w:color w:val="333333"/>
          <w:kern w:val="36"/>
          <w:sz w:val="27"/>
          <w:szCs w:val="27"/>
        </w:rPr>
        <w:t>8</w:t>
      </w:r>
      <w:r w:rsidRPr="000E0117">
        <w:rPr>
          <w:rFonts w:ascii="Arial" w:eastAsia="宋体" w:hAnsi="Arial" w:cs="Arial"/>
          <w:b/>
          <w:bCs/>
          <w:color w:val="333333"/>
          <w:kern w:val="36"/>
          <w:sz w:val="27"/>
          <w:szCs w:val="27"/>
        </w:rPr>
        <w:t>号》的通知</w:t>
      </w:r>
    </w:p>
    <w:p w:rsidR="000E0117" w:rsidRPr="000E0117" w:rsidRDefault="000E0117" w:rsidP="000E0117">
      <w:pPr>
        <w:widowControl/>
        <w:shd w:val="clear" w:color="auto" w:fill="FFFFFF"/>
        <w:spacing w:before="255" w:after="90" w:line="180" w:lineRule="atLeast"/>
        <w:jc w:val="center"/>
        <w:rPr>
          <w:rFonts w:ascii="Arial" w:eastAsia="宋体" w:hAnsi="Arial" w:cs="Arial"/>
          <w:color w:val="5E5D5D"/>
          <w:kern w:val="0"/>
          <w:sz w:val="18"/>
          <w:szCs w:val="18"/>
        </w:rPr>
      </w:pPr>
      <w:r w:rsidRPr="000E0117">
        <w:rPr>
          <w:rFonts w:ascii="Arial" w:eastAsia="宋体" w:hAnsi="Arial" w:cs="Arial"/>
          <w:color w:val="5E5D5D"/>
          <w:kern w:val="0"/>
          <w:sz w:val="18"/>
          <w:szCs w:val="18"/>
        </w:rPr>
        <w:t>发布时间：</w:t>
      </w:r>
      <w:r w:rsidRPr="000E0117">
        <w:rPr>
          <w:rFonts w:ascii="Arial" w:eastAsia="宋体" w:hAnsi="Arial" w:cs="Arial"/>
          <w:color w:val="5E5D5D"/>
          <w:kern w:val="0"/>
          <w:sz w:val="18"/>
          <w:szCs w:val="18"/>
        </w:rPr>
        <w:t>2016-01-06</w:t>
      </w:r>
      <w:r w:rsidRPr="000E0117">
        <w:rPr>
          <w:rFonts w:ascii="Arial" w:eastAsia="宋体" w:hAnsi="Arial" w:cs="Arial"/>
          <w:color w:val="5E5D5D"/>
          <w:kern w:val="0"/>
          <w:sz w:val="18"/>
        </w:rPr>
        <w:t> </w:t>
      </w:r>
      <w:r w:rsidRPr="000E0117">
        <w:rPr>
          <w:rFonts w:ascii="Arial" w:eastAsia="宋体" w:hAnsi="Arial" w:cs="Arial"/>
          <w:color w:val="5E5D5D"/>
          <w:kern w:val="0"/>
          <w:sz w:val="18"/>
          <w:szCs w:val="18"/>
        </w:rPr>
        <w:t xml:space="preserve">         </w:t>
      </w:r>
      <w:r w:rsidRPr="000E0117">
        <w:rPr>
          <w:rFonts w:ascii="Arial" w:eastAsia="宋体" w:hAnsi="Arial" w:cs="Arial"/>
          <w:color w:val="5E5D5D"/>
          <w:kern w:val="0"/>
          <w:sz w:val="18"/>
          <w:szCs w:val="18"/>
        </w:rPr>
        <w:t>浏览次数：</w:t>
      </w:r>
      <w:r w:rsidRPr="000E0117">
        <w:rPr>
          <w:rFonts w:ascii="Arial" w:eastAsia="宋体" w:hAnsi="Arial" w:cs="Arial"/>
          <w:color w:val="5E5D5D"/>
          <w:kern w:val="0"/>
          <w:sz w:val="18"/>
          <w:szCs w:val="18"/>
        </w:rPr>
        <w:t>717</w:t>
      </w:r>
    </w:p>
    <w:p w:rsidR="000E0117" w:rsidRPr="000E0117" w:rsidRDefault="000E0117" w:rsidP="000E0117">
      <w:pPr>
        <w:widowControl/>
        <w:shd w:val="clear" w:color="auto" w:fill="FFFFFF"/>
        <w:spacing w:line="360" w:lineRule="atLeast"/>
        <w:jc w:val="center"/>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财会</w:t>
      </w:r>
      <w:r w:rsidRPr="000E0117">
        <w:rPr>
          <w:rFonts w:ascii="Calibri" w:eastAsia="宋体" w:hAnsi="Calibri" w:cs="宋体" w:hint="eastAsia"/>
          <w:color w:val="2F2D2D"/>
          <w:kern w:val="0"/>
          <w:sz w:val="24"/>
          <w:szCs w:val="24"/>
        </w:rPr>
        <w:t>[2015]23</w:t>
      </w:r>
      <w:r w:rsidRPr="000E0117">
        <w:rPr>
          <w:rFonts w:ascii="宋体" w:eastAsia="宋体" w:hAnsi="宋体" w:cs="宋体" w:hint="eastAsia"/>
          <w:color w:val="2F2D2D"/>
          <w:kern w:val="0"/>
          <w:sz w:val="24"/>
          <w:szCs w:val="24"/>
        </w:rPr>
        <w:t>号</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国务院有关部委、有关直属机构，各省、自治区、直辖市、计划单列市财政厅（局），新疆生产建设兵团财务局，有关中央管理企业：</w:t>
      </w:r>
    </w:p>
    <w:p w:rsidR="000E0117" w:rsidRPr="000E0117" w:rsidRDefault="000E0117" w:rsidP="000E0117">
      <w:pPr>
        <w:widowControl/>
        <w:shd w:val="clear" w:color="auto" w:fill="FFFFFF"/>
        <w:spacing w:line="360" w:lineRule="atLeast"/>
        <w:ind w:firstLine="480"/>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为了深入贯彻实施企业会计准则，解决执行中出现的问题，同时，实现企业会计准则持续趋同和等效，我部制定了《企业会计准则解释第</w:t>
      </w:r>
      <w:r w:rsidRPr="000E0117">
        <w:rPr>
          <w:rFonts w:ascii="Calibri" w:eastAsia="宋体" w:hAnsi="Calibri" w:cs="宋体" w:hint="eastAsia"/>
          <w:color w:val="2F2D2D"/>
          <w:kern w:val="0"/>
          <w:sz w:val="24"/>
          <w:szCs w:val="24"/>
        </w:rPr>
        <w:t>8</w:t>
      </w:r>
      <w:r w:rsidRPr="000E0117">
        <w:rPr>
          <w:rFonts w:ascii="宋体" w:eastAsia="宋体" w:hAnsi="宋体" w:cs="宋体" w:hint="eastAsia"/>
          <w:color w:val="2F2D2D"/>
          <w:kern w:val="0"/>
          <w:sz w:val="24"/>
          <w:szCs w:val="24"/>
        </w:rPr>
        <w:t>号》，现予印发，请遵照执行。</w:t>
      </w:r>
    </w:p>
    <w:p w:rsidR="000E0117" w:rsidRPr="000E0117" w:rsidRDefault="000E0117" w:rsidP="000E0117">
      <w:pPr>
        <w:widowControl/>
        <w:shd w:val="clear" w:color="auto" w:fill="FFFFFF"/>
        <w:spacing w:line="360" w:lineRule="atLeast"/>
        <w:ind w:firstLine="480"/>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w:t>
      </w:r>
    </w:p>
    <w:p w:rsidR="000E0117" w:rsidRPr="000E0117" w:rsidRDefault="000E0117" w:rsidP="000E0117">
      <w:pPr>
        <w:widowControl/>
        <w:shd w:val="clear" w:color="auto" w:fill="FFFFFF"/>
        <w:wordWrap w:val="0"/>
        <w:spacing w:line="360" w:lineRule="atLeast"/>
        <w:jc w:val="righ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财政部     </w:t>
      </w:r>
    </w:p>
    <w:p w:rsidR="000E0117" w:rsidRPr="000E0117" w:rsidRDefault="000E0117" w:rsidP="000E0117">
      <w:pPr>
        <w:widowControl/>
        <w:shd w:val="clear" w:color="auto" w:fill="FFFFFF"/>
        <w:spacing w:line="360" w:lineRule="atLeast"/>
        <w:jc w:val="righ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w:t>
      </w:r>
      <w:r w:rsidRPr="000E0117">
        <w:rPr>
          <w:rFonts w:ascii="Calibri" w:eastAsia="宋体" w:hAnsi="Calibri" w:cs="宋体" w:hint="eastAsia"/>
          <w:color w:val="2F2D2D"/>
          <w:kern w:val="0"/>
          <w:sz w:val="24"/>
          <w:szCs w:val="24"/>
        </w:rPr>
        <w:t>2015</w:t>
      </w:r>
      <w:r w:rsidRPr="000E0117">
        <w:rPr>
          <w:rFonts w:ascii="宋体" w:eastAsia="宋体" w:hAnsi="宋体" w:cs="宋体" w:hint="eastAsia"/>
          <w:color w:val="2F2D2D"/>
          <w:kern w:val="0"/>
          <w:sz w:val="24"/>
          <w:szCs w:val="24"/>
        </w:rPr>
        <w:t>年</w:t>
      </w:r>
      <w:r w:rsidRPr="000E0117">
        <w:rPr>
          <w:rFonts w:ascii="Calibri" w:eastAsia="宋体" w:hAnsi="Calibri" w:cs="宋体" w:hint="eastAsia"/>
          <w:color w:val="2F2D2D"/>
          <w:kern w:val="0"/>
          <w:sz w:val="24"/>
          <w:szCs w:val="24"/>
        </w:rPr>
        <w:t>12</w:t>
      </w:r>
      <w:r w:rsidRPr="000E0117">
        <w:rPr>
          <w:rFonts w:ascii="宋体" w:eastAsia="宋体" w:hAnsi="宋体" w:cs="宋体" w:hint="eastAsia"/>
          <w:color w:val="2F2D2D"/>
          <w:kern w:val="0"/>
          <w:sz w:val="24"/>
          <w:szCs w:val="24"/>
        </w:rPr>
        <w:t>月</w:t>
      </w:r>
      <w:r w:rsidRPr="000E0117">
        <w:rPr>
          <w:rFonts w:ascii="Calibri" w:eastAsia="宋体" w:hAnsi="Calibri" w:cs="宋体" w:hint="eastAsia"/>
          <w:color w:val="2F2D2D"/>
          <w:kern w:val="0"/>
          <w:sz w:val="24"/>
          <w:szCs w:val="24"/>
        </w:rPr>
        <w:t>16</w:t>
      </w:r>
      <w:r w:rsidRPr="000E0117">
        <w:rPr>
          <w:rFonts w:ascii="宋体" w:eastAsia="宋体" w:hAnsi="宋体" w:cs="宋体" w:hint="eastAsia"/>
          <w:color w:val="2F2D2D"/>
          <w:kern w:val="0"/>
          <w:sz w:val="24"/>
          <w:szCs w:val="24"/>
        </w:rPr>
        <w:t>日</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附件</w:t>
      </w:r>
      <w:r w:rsidRPr="000E0117">
        <w:rPr>
          <w:rFonts w:ascii="Calibri" w:eastAsia="宋体" w:hAnsi="Calibri" w:cs="宋体" w:hint="eastAsia"/>
          <w:color w:val="2F2D2D"/>
          <w:kern w:val="0"/>
          <w:sz w:val="24"/>
          <w:szCs w:val="24"/>
        </w:rPr>
        <w:t>:</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w:t>
      </w:r>
    </w:p>
    <w:p w:rsidR="000E0117" w:rsidRPr="000E0117" w:rsidRDefault="000E0117" w:rsidP="000E0117">
      <w:pPr>
        <w:widowControl/>
        <w:shd w:val="clear" w:color="auto" w:fill="FFFFFF"/>
        <w:spacing w:line="360" w:lineRule="atLeast"/>
        <w:jc w:val="center"/>
        <w:rPr>
          <w:rFonts w:ascii="宋体" w:eastAsia="宋体" w:hAnsi="宋体" w:cs="宋体"/>
          <w:color w:val="2F2D2D"/>
          <w:kern w:val="0"/>
          <w:sz w:val="18"/>
          <w:szCs w:val="18"/>
        </w:rPr>
      </w:pPr>
      <w:r w:rsidRPr="000E0117">
        <w:rPr>
          <w:rFonts w:ascii="宋体" w:eastAsia="宋体" w:hAnsi="宋体" w:cs="宋体" w:hint="eastAsia"/>
          <w:b/>
          <w:bCs/>
          <w:color w:val="2F2D2D"/>
          <w:kern w:val="0"/>
          <w:sz w:val="28"/>
          <w:szCs w:val="28"/>
        </w:rPr>
        <w:t>企业会计准则解释第</w:t>
      </w:r>
      <w:r w:rsidRPr="000E0117">
        <w:rPr>
          <w:rFonts w:ascii="Calibri" w:eastAsia="宋体" w:hAnsi="Calibri" w:cs="宋体" w:hint="eastAsia"/>
          <w:b/>
          <w:bCs/>
          <w:color w:val="2F2D2D"/>
          <w:kern w:val="0"/>
          <w:sz w:val="28"/>
          <w:szCs w:val="28"/>
        </w:rPr>
        <w:t>8</w:t>
      </w:r>
      <w:r w:rsidRPr="000E0117">
        <w:rPr>
          <w:rFonts w:ascii="宋体" w:eastAsia="宋体" w:hAnsi="宋体" w:cs="宋体" w:hint="eastAsia"/>
          <w:b/>
          <w:bCs/>
          <w:color w:val="2F2D2D"/>
          <w:kern w:val="0"/>
          <w:sz w:val="28"/>
          <w:szCs w:val="28"/>
        </w:rPr>
        <w:t>号</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w:t>
      </w:r>
      <w:r w:rsidRPr="000E0117">
        <w:rPr>
          <w:rFonts w:ascii="宋体" w:eastAsia="宋体" w:hAnsi="宋体" w:cs="宋体" w:hint="eastAsia"/>
          <w:b/>
          <w:bCs/>
          <w:color w:val="2F2D2D"/>
          <w:kern w:val="0"/>
          <w:sz w:val="24"/>
          <w:szCs w:val="24"/>
        </w:rPr>
        <w:t>一、商业银行及其子公司（以下统称为“商业银行”）应当如何判断是否控制其按照银行业监督管理委员会相关规定发行的理财产品（以下称为“理财产品”）？</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答：商业银行应当按照《企业会计准则第</w:t>
      </w:r>
      <w:r w:rsidRPr="000E0117">
        <w:rPr>
          <w:rFonts w:ascii="Calibri" w:eastAsia="宋体" w:hAnsi="Calibri" w:cs="宋体" w:hint="eastAsia"/>
          <w:color w:val="2F2D2D"/>
          <w:kern w:val="0"/>
          <w:sz w:val="24"/>
          <w:szCs w:val="24"/>
        </w:rPr>
        <w:t>33</w:t>
      </w:r>
      <w:r w:rsidRPr="000E0117">
        <w:rPr>
          <w:rFonts w:ascii="宋体" w:eastAsia="宋体" w:hAnsi="宋体" w:cs="宋体" w:hint="eastAsia"/>
          <w:color w:val="2F2D2D"/>
          <w:kern w:val="0"/>
          <w:sz w:val="24"/>
          <w:szCs w:val="24"/>
        </w:rPr>
        <w:t>号——合并财务报表》（以下简称《合并财务报表准则》）的相关规定，判断是否控制其发行的理财产品。如果商业银行控制该理财产品，应当按照《合并财务报表准则》的规定将该理财产品纳入合并范围。</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商业银行在判断是否控制其发行的理财产品时，应当综合考虑其本身直接享有以及通过所有子公司（包括控制的结构化主体）间接享有权利而拥有的权力、可变回报及其联系。分析可变回报时，至少应当关注以下方面：</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可变回报通常包括商业银行因向理财产品提供管理服务等获得的决策者</w:t>
      </w:r>
      <w:proofErr w:type="gramStart"/>
      <w:r w:rsidRPr="000E0117">
        <w:rPr>
          <w:rFonts w:ascii="宋体" w:eastAsia="宋体" w:hAnsi="宋体" w:cs="宋体" w:hint="eastAsia"/>
          <w:color w:val="2F2D2D"/>
          <w:kern w:val="0"/>
          <w:sz w:val="24"/>
          <w:szCs w:val="24"/>
        </w:rPr>
        <w:t>薪</w:t>
      </w:r>
      <w:proofErr w:type="gramEnd"/>
      <w:r w:rsidRPr="000E0117">
        <w:rPr>
          <w:rFonts w:ascii="宋体" w:eastAsia="宋体" w:hAnsi="宋体" w:cs="宋体" w:hint="eastAsia"/>
          <w:color w:val="2F2D2D"/>
          <w:kern w:val="0"/>
          <w:sz w:val="24"/>
          <w:szCs w:val="24"/>
        </w:rPr>
        <w:t>酬和其他利益：前者包括各种形式的理财产品管理费（含各种形式的固定管理费和业绩报酬等），还可能包括以销售费、托管费以及其他各种服务收费的名义收取的实质上为决策者薪酬的收费；后者包括各种形式的直接投资收益，提供信用增级或支持等而获得的补偿或报酬，因提供信用增级或支持等而可能发生或承担的损失，与理财产品进行其他交易或者持有理财产品其他利益而取得的可变回报，以及销售费、托管费和其他各种名目的服务收费等。其中，提供的信用增级包括担保（例如保证理财产品投资者的本金或收益、为理财产品的债务提供保证等）、</w:t>
      </w:r>
      <w:r w:rsidRPr="000E0117">
        <w:rPr>
          <w:rFonts w:ascii="宋体" w:eastAsia="宋体" w:hAnsi="宋体" w:cs="宋体" w:hint="eastAsia"/>
          <w:color w:val="2F2D2D"/>
          <w:kern w:val="0"/>
          <w:sz w:val="24"/>
          <w:szCs w:val="24"/>
        </w:rPr>
        <w:lastRenderedPageBreak/>
        <w:t>信贷承诺等；提供的支持包括财务或其他支持，例如流动性支持、回购承诺、向理财产品提供融资、购买理财产品持有的资产、同理财产品进行衍生交易等。</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商业银行在分析享有的可变回报时，不仅应当分析与理财产品相关的法律法规及各项合同安排的实质，还应当分析理财产品成本与收益是否清晰明确，交易定价（含收费）是否符合市场或行业惯例，以及是否存在其他可能导致商业银行最终承担理财产品损失的情况等。商业银行应当慎重考虑其是否在没有合同义务的情况下，对过去发行的具有类似特征的理财产品提供过信用增级或支持的事实或情况，至少包括以下几个方面：</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w:t>
      </w:r>
      <w:r w:rsidRPr="000E0117">
        <w:rPr>
          <w:rFonts w:ascii="Calibri" w:eastAsia="宋体" w:hAnsi="Calibri" w:cs="宋体" w:hint="eastAsia"/>
          <w:color w:val="2F2D2D"/>
          <w:kern w:val="0"/>
          <w:sz w:val="24"/>
          <w:szCs w:val="24"/>
        </w:rPr>
        <w:t>1</w:t>
      </w:r>
      <w:r w:rsidRPr="000E0117">
        <w:rPr>
          <w:rFonts w:ascii="宋体" w:eastAsia="宋体" w:hAnsi="宋体" w:cs="宋体" w:hint="eastAsia"/>
          <w:color w:val="2F2D2D"/>
          <w:kern w:val="0"/>
          <w:sz w:val="24"/>
          <w:szCs w:val="24"/>
        </w:rPr>
        <w:t>．提供该信用增级或支持的触发事件及其原因，以及预期未来发生类似事件的可能性和频率。</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w:t>
      </w:r>
      <w:r w:rsidRPr="000E0117">
        <w:rPr>
          <w:rFonts w:ascii="Calibri" w:eastAsia="宋体" w:hAnsi="Calibri" w:cs="宋体" w:hint="eastAsia"/>
          <w:color w:val="2F2D2D"/>
          <w:kern w:val="0"/>
          <w:sz w:val="24"/>
          <w:szCs w:val="24"/>
        </w:rPr>
        <w:t>2</w:t>
      </w:r>
      <w:r w:rsidRPr="000E0117">
        <w:rPr>
          <w:rFonts w:ascii="宋体" w:eastAsia="宋体" w:hAnsi="宋体" w:cs="宋体" w:hint="eastAsia"/>
          <w:color w:val="2F2D2D"/>
          <w:kern w:val="0"/>
          <w:sz w:val="24"/>
          <w:szCs w:val="24"/>
        </w:rPr>
        <w:t>．商业银行提供该信用增级或支持的原因，以及做出这一决定的内部控制和管理流程；预期未来出现类似触发事件时，是否仍将提供信用增级和支持（此评估应当基于商业银行对于此类事件的应对机制以及内部控制和管理流程，且应当考虑历史经验）。</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w:t>
      </w:r>
      <w:r w:rsidRPr="000E0117">
        <w:rPr>
          <w:rFonts w:ascii="Calibri" w:eastAsia="宋体" w:hAnsi="Calibri" w:cs="宋体" w:hint="eastAsia"/>
          <w:color w:val="2F2D2D"/>
          <w:kern w:val="0"/>
          <w:sz w:val="24"/>
          <w:szCs w:val="24"/>
        </w:rPr>
        <w:t>3</w:t>
      </w:r>
      <w:r w:rsidRPr="000E0117">
        <w:rPr>
          <w:rFonts w:ascii="宋体" w:eastAsia="宋体" w:hAnsi="宋体" w:cs="宋体" w:hint="eastAsia"/>
          <w:color w:val="2F2D2D"/>
          <w:kern w:val="0"/>
          <w:sz w:val="24"/>
          <w:szCs w:val="24"/>
        </w:rPr>
        <w:t>．因提供信用增级或支持而从理财产品获取的对价，包括但不限于该对价是否公允，收取该对价是否存在不确定性以及不确定性的程度。</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w:t>
      </w:r>
      <w:r w:rsidRPr="000E0117">
        <w:rPr>
          <w:rFonts w:ascii="Calibri" w:eastAsia="宋体" w:hAnsi="Calibri" w:cs="宋体" w:hint="eastAsia"/>
          <w:color w:val="2F2D2D"/>
          <w:kern w:val="0"/>
          <w:sz w:val="24"/>
          <w:szCs w:val="24"/>
        </w:rPr>
        <w:t>4</w:t>
      </w:r>
      <w:r w:rsidRPr="000E0117">
        <w:rPr>
          <w:rFonts w:ascii="宋体" w:eastAsia="宋体" w:hAnsi="宋体" w:cs="宋体" w:hint="eastAsia"/>
          <w:color w:val="2F2D2D"/>
          <w:kern w:val="0"/>
          <w:sz w:val="24"/>
          <w:szCs w:val="24"/>
        </w:rPr>
        <w:t>．因提供信用增级或支持而面临损失的风险程度。</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如果商业银行按照《合并财务报表准则》判断对所发行的理财产品不构成控制，但在该理财产品的存续期内，商业银行向该理财产品提供了合同义务以外的信用增级或支持，商业银行应当至少考虑上述各项事实和情况，重新评估是否对该理财产品形成控制。经重新评估后认定对理财产品具有控制的，商业银行应当将该理财产品纳入合并范围。同时，对于发行的具有类似特征（如具有类似合同条款、基础资产构成、投资者构成、商业银行参与理财产品而享有可变回报的构成等）的理财产品，商业银行也应当按照一致性原则予以重新评估。</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w:t>
      </w:r>
      <w:r w:rsidRPr="000E0117">
        <w:rPr>
          <w:rFonts w:ascii="宋体" w:eastAsia="宋体" w:hAnsi="宋体" w:cs="宋体" w:hint="eastAsia"/>
          <w:b/>
          <w:bCs/>
          <w:color w:val="2F2D2D"/>
          <w:kern w:val="0"/>
          <w:sz w:val="24"/>
          <w:szCs w:val="24"/>
        </w:rPr>
        <w:t>二、商业银行应当如何对其发行的理财产品进行会计处理？</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答：商业银行发行的理财产品应当作为独立的会计主体，按照企业会计准则的相关规定进行会计处理。</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（一）会计核算</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对于理财产品持有或发行的金融工具，在采用《企业会计准则第</w:t>
      </w:r>
      <w:r w:rsidRPr="000E0117">
        <w:rPr>
          <w:rFonts w:ascii="Calibri" w:eastAsia="宋体" w:hAnsi="Calibri" w:cs="宋体" w:hint="eastAsia"/>
          <w:color w:val="2F2D2D"/>
          <w:kern w:val="0"/>
          <w:sz w:val="24"/>
          <w:szCs w:val="24"/>
        </w:rPr>
        <w:t>22</w:t>
      </w:r>
      <w:r w:rsidRPr="000E0117">
        <w:rPr>
          <w:rFonts w:ascii="宋体" w:eastAsia="宋体" w:hAnsi="宋体" w:cs="宋体" w:hint="eastAsia"/>
          <w:color w:val="2F2D2D"/>
          <w:kern w:val="0"/>
          <w:sz w:val="24"/>
          <w:szCs w:val="24"/>
        </w:rPr>
        <w:t>号——金融工具确认和计量》（以下简称《金融工具确认计量准则》）、《企业会计准则第</w:t>
      </w:r>
      <w:r w:rsidRPr="000E0117">
        <w:rPr>
          <w:rFonts w:ascii="Calibri" w:eastAsia="宋体" w:hAnsi="Calibri" w:cs="宋体" w:hint="eastAsia"/>
          <w:color w:val="2F2D2D"/>
          <w:kern w:val="0"/>
          <w:sz w:val="24"/>
          <w:szCs w:val="24"/>
        </w:rPr>
        <w:t>37</w:t>
      </w:r>
      <w:r w:rsidRPr="000E0117">
        <w:rPr>
          <w:rFonts w:ascii="宋体" w:eastAsia="宋体" w:hAnsi="宋体" w:cs="宋体" w:hint="eastAsia"/>
          <w:color w:val="2F2D2D"/>
          <w:kern w:val="0"/>
          <w:sz w:val="24"/>
          <w:szCs w:val="24"/>
        </w:rPr>
        <w:t>号——金融工具列报》（以下简称《金融工具列报准则》）和《企业会计准则第</w:t>
      </w:r>
      <w:r w:rsidRPr="000E0117">
        <w:rPr>
          <w:rFonts w:ascii="Calibri" w:eastAsia="宋体" w:hAnsi="Calibri" w:cs="宋体" w:hint="eastAsia"/>
          <w:color w:val="2F2D2D"/>
          <w:kern w:val="0"/>
          <w:sz w:val="24"/>
          <w:szCs w:val="24"/>
        </w:rPr>
        <w:t>39</w:t>
      </w:r>
      <w:r w:rsidRPr="000E0117">
        <w:rPr>
          <w:rFonts w:ascii="宋体" w:eastAsia="宋体" w:hAnsi="宋体" w:cs="宋体" w:hint="eastAsia"/>
          <w:color w:val="2F2D2D"/>
          <w:kern w:val="0"/>
          <w:sz w:val="24"/>
          <w:szCs w:val="24"/>
        </w:rPr>
        <w:t>号——公允价值计量》（以下简称《公允价值计量准则》）时，应当至少考虑以下内容：</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w:t>
      </w:r>
      <w:r w:rsidRPr="000E0117">
        <w:rPr>
          <w:rFonts w:ascii="Calibri" w:eastAsia="宋体" w:hAnsi="Calibri" w:cs="宋体" w:hint="eastAsia"/>
          <w:color w:val="2F2D2D"/>
          <w:kern w:val="0"/>
          <w:sz w:val="24"/>
          <w:szCs w:val="24"/>
        </w:rPr>
        <w:t>1</w:t>
      </w:r>
      <w:r w:rsidRPr="000E0117">
        <w:rPr>
          <w:rFonts w:ascii="宋体" w:eastAsia="宋体" w:hAnsi="宋体" w:cs="宋体" w:hint="eastAsia"/>
          <w:color w:val="2F2D2D"/>
          <w:kern w:val="0"/>
          <w:sz w:val="24"/>
          <w:szCs w:val="24"/>
        </w:rPr>
        <w:t>．分类</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对于理财产品持有的金融资产或金融负债，应当根据持有目的或意图、是否有活跃市场报价、金融工具现金流量特征等，按照《金融工具确认计量准则》有关金融资产或金融负债的分类原则进行恰当分类。</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lastRenderedPageBreak/>
        <w:t xml:space="preserve">　　如果理财产品持有的非衍生金融资产由于缺乏流动性而难以在市场上出售（如非标准化债权资产），则通常不能表明该金融资产是为了交易目的而持有的（如为了近期内出售，或者属于进行集中管理的可辨认金融工具组合的一部分，且有客观证据表明近期采用短期获利方式对该组合进行管理），因而不应当分类为以公允价值计量且其变动计入当期损益的金融资产中的交易性金融资产。</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如果理财产品持有的权益工具投资在活跃市场中没有报价，且采用估值技术后公允价值也不能可靠计量，则不得将其指定为以公允价值计量且其变动计入当期损益的金融资产。</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如果商业银行因为估值流程不完善或不具备估值能力，且未能或难以有效利用第三方估值等原因，无法或难以可靠地评估理财产品持有的金融资产或金融负债的公允价值，则通常不能表明其能以公允价值为基础对理财产品持有的金融资产或金融负债进行管理和评价，因而不得依据《金融工具确认计量准则》，将该金融资产或金融负债指定为以公允价值计量且其变动计入当期损益的金融工具。</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理财产品发行的金融工具，应当按照《金融工具列报准则》的相关规定进行分类。</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在对理财产品进行会计处理时，应当按照企业会计准则的相关规定规范使用会计科目，不得使用诸如“代理理财投资”等可能引起歧义的科目名称。</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w:t>
      </w:r>
      <w:r w:rsidRPr="000E0117">
        <w:rPr>
          <w:rFonts w:ascii="Calibri" w:eastAsia="宋体" w:hAnsi="Calibri" w:cs="宋体" w:hint="eastAsia"/>
          <w:color w:val="2F2D2D"/>
          <w:kern w:val="0"/>
          <w:sz w:val="24"/>
          <w:szCs w:val="24"/>
        </w:rPr>
        <w:t>2</w:t>
      </w:r>
      <w:r w:rsidRPr="000E0117">
        <w:rPr>
          <w:rFonts w:ascii="宋体" w:eastAsia="宋体" w:hAnsi="宋体" w:cs="宋体" w:hint="eastAsia"/>
          <w:color w:val="2F2D2D"/>
          <w:kern w:val="0"/>
          <w:sz w:val="24"/>
          <w:szCs w:val="24"/>
        </w:rPr>
        <w:t>．计量</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对于理财产品持有的金融资产或金融负债，应当按照《金融工具确认计量准则》、《公允价值计量准则》和其他相关准则进行计量。其中：</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w:t>
      </w:r>
      <w:r w:rsidRPr="000E0117">
        <w:rPr>
          <w:rFonts w:ascii="Calibri" w:eastAsia="宋体" w:hAnsi="Calibri" w:cs="宋体" w:hint="eastAsia"/>
          <w:color w:val="2F2D2D"/>
          <w:kern w:val="0"/>
          <w:sz w:val="24"/>
          <w:szCs w:val="24"/>
        </w:rPr>
        <w:t>1</w:t>
      </w:r>
      <w:r w:rsidRPr="000E0117">
        <w:rPr>
          <w:rFonts w:ascii="宋体" w:eastAsia="宋体" w:hAnsi="宋体" w:cs="宋体" w:hint="eastAsia"/>
          <w:color w:val="2F2D2D"/>
          <w:kern w:val="0"/>
          <w:sz w:val="24"/>
          <w:szCs w:val="24"/>
        </w:rPr>
        <w:t>）公允价值计量</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对于以公允价值计量的金融资产或金融负债，应当按照《公允价值计量准则》的相关规定确定其公允价值。通常情况下，金融工具初始确认的成本不符合后续公允价值计量要求，除非有充分的证据或理由表明</w:t>
      </w:r>
      <w:proofErr w:type="gramStart"/>
      <w:r w:rsidRPr="000E0117">
        <w:rPr>
          <w:rFonts w:ascii="宋体" w:eastAsia="宋体" w:hAnsi="宋体" w:cs="宋体" w:hint="eastAsia"/>
          <w:color w:val="2F2D2D"/>
          <w:kern w:val="0"/>
          <w:sz w:val="24"/>
          <w:szCs w:val="24"/>
        </w:rPr>
        <w:t>该成本</w:t>
      </w:r>
      <w:proofErr w:type="gramEnd"/>
      <w:r w:rsidRPr="000E0117">
        <w:rPr>
          <w:rFonts w:ascii="宋体" w:eastAsia="宋体" w:hAnsi="宋体" w:cs="宋体" w:hint="eastAsia"/>
          <w:color w:val="2F2D2D"/>
          <w:kern w:val="0"/>
          <w:sz w:val="24"/>
          <w:szCs w:val="24"/>
        </w:rPr>
        <w:t>在计量日仍是对公允价值的恰当估计。</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w:t>
      </w:r>
      <w:r w:rsidRPr="000E0117">
        <w:rPr>
          <w:rFonts w:ascii="Calibri" w:eastAsia="宋体" w:hAnsi="Calibri" w:cs="宋体" w:hint="eastAsia"/>
          <w:color w:val="2F2D2D"/>
          <w:kern w:val="0"/>
          <w:sz w:val="24"/>
          <w:szCs w:val="24"/>
        </w:rPr>
        <w:t>2</w:t>
      </w:r>
      <w:r w:rsidRPr="000E0117">
        <w:rPr>
          <w:rFonts w:ascii="宋体" w:eastAsia="宋体" w:hAnsi="宋体" w:cs="宋体" w:hint="eastAsia"/>
          <w:color w:val="2F2D2D"/>
          <w:kern w:val="0"/>
          <w:sz w:val="24"/>
          <w:szCs w:val="24"/>
        </w:rPr>
        <w:t>）减值</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理财产品持有的除以公允价值计量且其变动计入当期损益之外的金融资产，应当按照《金融工具确认计量准则》中有关金融资产减值的规定，评估是否存在减值的客观证据，以及确定减值损失的金额并进行会计核算。</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（二）列报</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商业银行是编报理财产品财务报表的法定责任人。如果相关法律法规或监管部门要求报送或公开理财产品财务报表，商业银行应当确保其报送或公开的理财产品财务报表符合企业会计准则的要求。</w:t>
      </w:r>
    </w:p>
    <w:p w:rsidR="000E0117" w:rsidRPr="000E0117" w:rsidRDefault="000E0117" w:rsidP="000E0117">
      <w:pPr>
        <w:widowControl/>
        <w:shd w:val="clear" w:color="auto" w:fill="FFFFFF"/>
        <w:spacing w:line="360" w:lineRule="atLeast"/>
        <w:jc w:val="left"/>
        <w:rPr>
          <w:rFonts w:ascii="宋体" w:eastAsia="宋体" w:hAnsi="宋体" w:cs="宋体"/>
          <w:color w:val="2F2D2D"/>
          <w:kern w:val="0"/>
          <w:sz w:val="18"/>
          <w:szCs w:val="18"/>
        </w:rPr>
      </w:pPr>
      <w:r w:rsidRPr="000E0117">
        <w:rPr>
          <w:rFonts w:ascii="宋体" w:eastAsia="宋体" w:hAnsi="宋体" w:cs="宋体" w:hint="eastAsia"/>
          <w:color w:val="2F2D2D"/>
          <w:kern w:val="0"/>
          <w:sz w:val="24"/>
          <w:szCs w:val="24"/>
        </w:rPr>
        <w:t xml:space="preserve">　　三、商业银行应当在</w:t>
      </w:r>
      <w:r w:rsidRPr="000E0117">
        <w:rPr>
          <w:rFonts w:ascii="Calibri" w:eastAsia="宋体" w:hAnsi="Calibri" w:cs="宋体" w:hint="eastAsia"/>
          <w:color w:val="2F2D2D"/>
          <w:kern w:val="0"/>
          <w:sz w:val="24"/>
          <w:szCs w:val="24"/>
        </w:rPr>
        <w:t>2016</w:t>
      </w:r>
      <w:r w:rsidRPr="000E0117">
        <w:rPr>
          <w:rFonts w:ascii="宋体" w:eastAsia="宋体" w:hAnsi="宋体" w:cs="宋体" w:hint="eastAsia"/>
          <w:color w:val="2F2D2D"/>
          <w:kern w:val="0"/>
          <w:sz w:val="24"/>
          <w:szCs w:val="24"/>
        </w:rPr>
        <w:t>年年度及以后期间的财务报告中适用本解释要求。本解释生效前商业银行对理财产品的会计处理与本解释不一致的，应当进行追溯调整，追溯调整不可行的除外。</w:t>
      </w:r>
    </w:p>
    <w:p w:rsidR="009C39CF" w:rsidRPr="000E0117" w:rsidRDefault="009C39CF"/>
    <w:sectPr w:rsidR="009C39CF" w:rsidRPr="000E0117" w:rsidSect="009C39CF">
      <w:pgSz w:w="11906" w:h="16838"/>
      <w:pgMar w:top="1440" w:right="1800" w:bottom="1440"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0117"/>
    <w:rsid w:val="000E0117"/>
    <w:rsid w:val="00207AA0"/>
    <w:rsid w:val="009C39CF"/>
    <w:rsid w:val="00F13508"/>
    <w:rsid w:val="00FE48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9CF"/>
    <w:pPr>
      <w:widowControl w:val="0"/>
      <w:jc w:val="both"/>
    </w:pPr>
  </w:style>
  <w:style w:type="paragraph" w:styleId="1">
    <w:name w:val="heading 1"/>
    <w:basedOn w:val="a"/>
    <w:link w:val="1Char"/>
    <w:uiPriority w:val="9"/>
    <w:qFormat/>
    <w:rsid w:val="000E011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E0117"/>
    <w:rPr>
      <w:rFonts w:ascii="宋体" w:eastAsia="宋体" w:hAnsi="宋体" w:cs="宋体"/>
      <w:b/>
      <w:bCs/>
      <w:kern w:val="36"/>
      <w:sz w:val="48"/>
      <w:szCs w:val="48"/>
    </w:rPr>
  </w:style>
  <w:style w:type="paragraph" w:styleId="a3">
    <w:name w:val="Normal (Web)"/>
    <w:basedOn w:val="a"/>
    <w:uiPriority w:val="99"/>
    <w:semiHidden/>
    <w:unhideWhenUsed/>
    <w:rsid w:val="000E011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E0117"/>
  </w:style>
</w:styles>
</file>

<file path=word/webSettings.xml><?xml version="1.0" encoding="utf-8"?>
<w:webSettings xmlns:r="http://schemas.openxmlformats.org/officeDocument/2006/relationships" xmlns:w="http://schemas.openxmlformats.org/wordprocessingml/2006/main">
  <w:divs>
    <w:div w:id="710956203">
      <w:bodyDiv w:val="1"/>
      <w:marLeft w:val="0"/>
      <w:marRight w:val="0"/>
      <w:marTop w:val="0"/>
      <w:marBottom w:val="0"/>
      <w:divBdr>
        <w:top w:val="none" w:sz="0" w:space="0" w:color="auto"/>
        <w:left w:val="none" w:sz="0" w:space="0" w:color="auto"/>
        <w:bottom w:val="none" w:sz="0" w:space="0" w:color="auto"/>
        <w:right w:val="none" w:sz="0" w:space="0" w:color="auto"/>
      </w:divBdr>
      <w:divsChild>
        <w:div w:id="1617174508">
          <w:marLeft w:val="0"/>
          <w:marRight w:val="0"/>
          <w:marTop w:val="450"/>
          <w:marBottom w:val="9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c:creator>
  <cp:lastModifiedBy>Xiao</cp:lastModifiedBy>
  <cp:revision>1</cp:revision>
  <dcterms:created xsi:type="dcterms:W3CDTF">2016-12-27T07:41:00Z</dcterms:created>
  <dcterms:modified xsi:type="dcterms:W3CDTF">2016-12-27T07:41:00Z</dcterms:modified>
</cp:coreProperties>
</file>